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w:t>
      </w:r>
      <w:r>
        <w:rPr>
          <w:rFonts w:hint="eastAsia" w:ascii="宋体" w:hAnsi="宋体" w:eastAsia="宋体" w:cs="宋体"/>
          <w:b/>
          <w:color w:val="auto"/>
          <w:sz w:val="52"/>
          <w:szCs w:val="52"/>
          <w:highlight w:val="none"/>
          <w:lang w:val="en-US" w:eastAsia="zh-CN"/>
        </w:rPr>
        <w:t xml:space="preserve">梁溪区</w:t>
      </w:r>
      <w:r>
        <w:rPr>
          <w:rFonts w:hint="eastAsia" w:ascii="宋体" w:hAnsi="宋体" w:eastAsia="宋体" w:cs="宋体"/>
          <w:b/>
          <w:color w:val="auto"/>
          <w:sz w:val="52"/>
          <w:szCs w:val="52"/>
          <w:highlight w:val="none"/>
        </w:rPr>
        <w:t xml:space="preserve">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jc w:val="center"/>
        <w:spacing w:line="36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JSZC-320213-PXGJ-G2026-0004</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中药饮片、集中代加工及配送服务</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无锡市梁溪区扬名街道社区卫生服务中心</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一</w:t>
      </w:r>
      <w:r>
        <w:rPr>
          <w:rFonts w:hint="eastAsia" w:ascii="宋体" w:hAnsi="宋体" w:eastAsia="宋体" w:cs="宋体"/>
          <w:bCs/>
          <w:color w:val="auto"/>
          <w:sz w:val="44"/>
          <w:szCs w:val="44"/>
          <w:highlight w:val="none"/>
        </w:rPr>
        <w:t xml:space="preserve">月</w:t>
      </w:r>
      <w:r/>
    </w:p>
    <w:p>
      <w:pPr>
        <w:spacing w:line="360" w:lineRule="auto"/>
        <w:rPr>
          <w:rStyle w:val="848"/>
          <w:rFonts w:ascii="Arial" w:hAnsi="Arial"/>
          <w:bCs/>
          <w:color w:val="auto"/>
          <w:sz w:val="48"/>
          <w:highlight w:val="none"/>
        </w:rPr>
      </w:pPr>
      <w:r>
        <w:rPr>
          <w:rFonts w:ascii="Arial" w:hAnsi="Arial"/>
          <w:bCs/>
          <w:color w:val="auto"/>
          <w:sz w:val="48"/>
          <w:highlight w:val="none"/>
        </w:rPr>
      </w:r>
      <w:r/>
    </w:p>
    <w:p>
      <w:pPr>
        <w:jc w:val="center"/>
        <w:spacing w:line="360" w:lineRule="auto"/>
        <w:rPr>
          <w:rStyle w:val="848"/>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48"/>
          <w:rFonts w:ascii="Arial" w:hAnsi="Arial"/>
          <w:bCs/>
          <w:color w:val="auto"/>
          <w:sz w:val="48"/>
          <w:highlight w:val="none"/>
          <w:u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pStyle w:val="1160"/>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无锡市梁溪区扬名街道社区卫生服务中心</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中药饮片、集中代加工及配送服务</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中药饮片、集中代加工及配送服务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14</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09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中药饮片、集中代加工及配送服务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JSZC-320213-PXGJ-G2026-0004</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宋体" w:hAnsi="宋体" w:eastAsia="宋体" w:cs="宋体"/>
          <w:color w:val="auto"/>
          <w:sz w:val="24"/>
          <w:szCs w:val="24"/>
          <w:highlight w:val="none"/>
          <w:lang w:val="en-US" w:eastAsia="zh-CN"/>
        </w:rPr>
        <w:t xml:space="preserve">1300万元</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4.项目最高限价：</w:t>
      </w:r>
      <w:r>
        <w:rPr>
          <w:rFonts w:hint="eastAsia" w:ascii="宋体" w:hAnsi="宋体" w:eastAsia="宋体" w:cs="宋体"/>
          <w:color w:val="auto"/>
          <w:sz w:val="24"/>
          <w:szCs w:val="24"/>
          <w:highlight w:val="none"/>
          <w:lang w:val="en-US" w:eastAsia="zh-CN"/>
        </w:rPr>
        <w:t xml:space="preserve">1094.207296万元，最高</w:t>
      </w:r>
      <w:r>
        <w:rPr>
          <w:rFonts w:hint="eastAsia" w:ascii="宋体" w:hAnsi="宋体" w:eastAsia="宋体" w:cs="宋体"/>
          <w:color w:val="auto"/>
          <w:sz w:val="24"/>
          <w:szCs w:val="24"/>
          <w:highlight w:val="none"/>
        </w:rPr>
        <w:t xml:space="preserve">折扣率</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%（本项目涉及的折扣率=1-优惠率）</w:t>
      </w:r>
      <w:r>
        <w:rPr>
          <w:rFonts w:hint="eastAsia" w:ascii="宋体" w:hAnsi="宋体" w:eastAsia="宋体" w:cs="宋体"/>
          <w:b/>
          <w:bCs/>
          <w:color w:val="auto"/>
          <w:sz w:val="24"/>
          <w:szCs w:val="24"/>
          <w:highlight w:val="none"/>
          <w:lang w:val="en-US" w:eastAsia="zh-CN" w:bidi="ar-SA"/>
        </w:rPr>
        <w:t xml:space="preserve">注：本次投报的是优惠率，如折扣率为40%，则报价表中优惠率填写60%；如打四折，则报价表中优惠率一栏填写60%，以此为例；</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cs="宋体"/>
          <w:color w:val="auto"/>
          <w:sz w:val="24"/>
          <w:highlight w:val="none"/>
        </w:rPr>
        <w:t xml:space="preserve">为规范中药饮片采购渠道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统一质量标准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保障中药饮片质量和供给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促进中医药事业发展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结合国家相关政策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拟采购中药饮片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集中代加工及配送服务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中药饮片集中代加工及配送服务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需提供所需合格的中药饮片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且利用信息技术优势和规模优势</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为采购客户提供代煎、熬膏</w:t>
      </w:r>
      <w:r>
        <w:rPr>
          <w:rFonts w:hint="eastAsia" w:ascii="宋体" w:hAnsi="宋体" w:cs="宋体"/>
          <w:color w:val="auto"/>
          <w:sz w:val="24"/>
          <w:highlight w:val="none"/>
          <w:lang w:eastAsia="zh-CN"/>
        </w:rPr>
        <w:t xml:space="preserve">、制丸、磨粉</w:t>
      </w:r>
      <w:r>
        <w:rPr>
          <w:rFonts w:hint="eastAsia" w:ascii="宋体" w:hAnsi="宋体" w:cs="宋体"/>
          <w:color w:val="auto"/>
          <w:sz w:val="24"/>
          <w:highlight w:val="none"/>
        </w:rPr>
        <w:t xml:space="preserve">等中药代加工服务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并将配好的汤剂、膏剂、丸剂</w:t>
      </w:r>
      <w:r>
        <w:rPr>
          <w:rFonts w:hint="eastAsia" w:ascii="宋体" w:hAnsi="宋体" w:cs="宋体"/>
          <w:color w:val="auto"/>
          <w:sz w:val="24"/>
          <w:highlight w:val="none"/>
          <w:lang w:eastAsia="zh-CN"/>
        </w:rPr>
        <w:t xml:space="preserve">、粉剂</w:t>
      </w:r>
      <w:r>
        <w:rPr>
          <w:rFonts w:hint="eastAsia" w:ascii="宋体" w:hAnsi="宋体" w:cs="宋体"/>
          <w:color w:val="auto"/>
          <w:sz w:val="24"/>
          <w:highlight w:val="none"/>
        </w:rPr>
        <w:t xml:space="preserve">等代加工后的成品配送到</w:t>
      </w:r>
      <w:r>
        <w:rPr>
          <w:rFonts w:hint="eastAsia" w:ascii="宋体" w:hAnsi="宋体" w:eastAsia="宋体" w:cs="宋体"/>
          <w:color w:val="auto"/>
          <w:sz w:val="24"/>
          <w:highlight w:val="none"/>
          <w:lang w:val="en-US" w:eastAsia="zh-CN"/>
        </w:rPr>
        <w:t xml:space="preserve">中心</w:t>
      </w:r>
      <w:r>
        <w:rPr>
          <w:rFonts w:hint="eastAsia" w:ascii="宋体" w:hAnsi="宋体" w:cs="宋体"/>
          <w:color w:val="auto"/>
          <w:sz w:val="24"/>
          <w:highlight w:val="none"/>
        </w:rPr>
        <w:t xml:space="preserve">或</w:t>
      </w:r>
      <w:r>
        <w:rPr>
          <w:rFonts w:hint="eastAsia" w:ascii="宋体" w:hAnsi="宋体" w:cs="宋体"/>
          <w:color w:val="auto"/>
          <w:sz w:val="24"/>
          <w:highlight w:val="none"/>
          <w:lang w:val="en-US" w:eastAsia="zh-CN"/>
        </w:rPr>
        <w:t xml:space="preserve">患者</w:t>
      </w:r>
      <w:r>
        <w:rPr>
          <w:rFonts w:hint="eastAsia" w:ascii="宋体" w:hAnsi="宋体" w:cs="宋体"/>
          <w:color w:val="auto"/>
          <w:sz w:val="24"/>
          <w:highlight w:val="none"/>
        </w:rPr>
        <w:t xml:space="preserve">手中</w:t>
      </w:r>
      <w:r>
        <w:rPr>
          <w:rFonts w:hint="eastAsia" w:ascii="宋体" w:hAnsi="宋体"/>
          <w:color w:val="auto"/>
          <w:sz w:val="24"/>
          <w:szCs w:val="24"/>
          <w:highlight w:val="none"/>
          <w:lang w:val="en-US" w:eastAsia="zh-CN"/>
        </w:rPr>
        <w:t xml:space="preserve">。具体</w:t>
      </w:r>
      <w:r>
        <w:rPr>
          <w:rFonts w:hint="eastAsia" w:ascii="宋体" w:hAnsi="宋体" w:cs="宋体"/>
          <w:color w:val="auto"/>
          <w:sz w:val="24"/>
          <w:szCs w:val="24"/>
          <w:highlight w:val="none"/>
        </w:rPr>
        <w:t xml:space="preserve">详见</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第四章《采购需求》</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w:t>
      </w:r>
      <w:r>
        <w:rPr>
          <w:rFonts w:hint="eastAsia" w:ascii="宋体" w:hAnsi="宋体" w:eastAsia="宋体" w:cs="宋体"/>
          <w:color w:val="auto"/>
          <w:sz w:val="24"/>
          <w:szCs w:val="24"/>
          <w:highlight w:val="none"/>
          <w:shd w:val="clear" w:color="auto" w:fill="ffffff"/>
          <w:lang w:val="en-US" w:eastAsia="zh-CN"/>
        </w:rPr>
        <w:t xml:space="preserve">（合同一年一签）一年期满，采购人视考核及评价结果决定是否续签。</w:t>
      </w:r>
      <w:r>
        <w:rPr>
          <w:rFonts w:hint="eastAsia" w:ascii="宋体" w:hAnsi="宋体" w:eastAsia="宋体" w:cs="宋体"/>
          <w:color w:val="auto"/>
          <w:sz w:val="24"/>
          <w:highlight w:val="none"/>
        </w:rPr>
        <w:t xml:space="preserve">若发生产品质量</w:t>
      </w:r>
      <w:r>
        <w:rPr>
          <w:rFonts w:hint="eastAsia" w:ascii="宋体" w:hAnsi="宋体" w:eastAsia="宋体" w:cs="宋体"/>
          <w:color w:val="auto"/>
          <w:sz w:val="24"/>
          <w:highlight w:val="none"/>
          <w:lang w:eastAsia="zh-CN"/>
        </w:rPr>
        <w:t xml:space="preserve">或其他</w:t>
      </w:r>
      <w:r>
        <w:rPr>
          <w:rFonts w:hint="eastAsia" w:ascii="宋体" w:hAnsi="宋体" w:eastAsia="宋体" w:cs="宋体"/>
          <w:color w:val="auto"/>
          <w:sz w:val="24"/>
          <w:highlight w:val="none"/>
        </w:rPr>
        <w:t xml:space="preserve">问题导致不良后果的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可随时终止合同</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7.服务</w:t>
      </w:r>
      <w:r>
        <w:rPr>
          <w:rFonts w:hint="eastAsia" w:ascii="宋体" w:hAnsi="宋体" w:cs="宋体"/>
          <w:color w:val="auto"/>
          <w:sz w:val="24"/>
          <w:szCs w:val="24"/>
          <w:highlight w:val="none"/>
        </w:rPr>
        <w:t xml:space="preserve">质量要求：符合国家、地方及相关行业标准</w:t>
      </w:r>
      <w:r>
        <w:rPr>
          <w:rFonts w:hint="eastAsia" w:ascii="宋体" w:hAnsi="宋体" w:eastAsia="宋体" w:cs="宋体"/>
          <w:b/>
          <w:bCs/>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outlineLvl w:val="0"/>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highlight w:val="none"/>
        </w:rPr>
        <w:t xml:space="preserve">本项目标的所属行业：</w:t>
      </w:r>
      <w:r>
        <w:rPr>
          <w:rFonts w:hint="eastAsia" w:ascii="宋体" w:hAnsi="宋体" w:eastAsia="宋体" w:cs="宋体"/>
          <w:color w:val="auto"/>
          <w:sz w:val="24"/>
          <w:highlight w:val="none"/>
          <w:lang w:val="en-US" w:eastAsia="zh-CN"/>
        </w:rPr>
        <w:t xml:space="preserve">工业</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根据《关于印发中小企业划型标准规定的通知》工信部联企业〔2011〕300号规定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工业</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lang w:val="en-US" w:eastAsia="zh-CN"/>
        </w:rPr>
        <w:t xml:space="preserve">否</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2.1中小企业政策：本项目专门面向中小企业（或监狱企业或残疾人福利性单位）采购。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rPr>
          <w:rFonts w:hint="eastAsia" w:ascii="宋体" w:hAnsi="宋体"/>
          <w:color w:val="auto"/>
          <w:sz w:val="24"/>
          <w:szCs w:val="24"/>
          <w:highlight w:val="none"/>
          <w:shd w:val="clear" w:color="auto" w:fill="auto"/>
          <w:lang w:eastAsia="zh-CN"/>
        </w:rPr>
        <w:t xml:space="preserve">投标人</w:t>
      </w:r>
      <w:r>
        <w:rPr>
          <w:rFonts w:hint="eastAsia" w:ascii="宋体" w:hAnsi="宋体"/>
          <w:color w:val="auto"/>
          <w:sz w:val="24"/>
          <w:szCs w:val="24"/>
          <w:highlight w:val="none"/>
          <w:shd w:val="clear" w:color="auto" w:fill="auto"/>
        </w:rPr>
        <w:t xml:space="preserve">必须具备有效期内的《药品生产许可证》或《药品经营许可证》</w:t>
      </w:r>
      <w:r>
        <w:rPr>
          <w:rFonts w:hint="eastAsia" w:ascii="宋体" w:hAnsi="宋体"/>
          <w:color w:val="auto"/>
          <w:sz w:val="24"/>
          <w:szCs w:val="24"/>
          <w:highlight w:val="none"/>
          <w:shd w:val="clear" w:color="auto" w:fill="auto"/>
          <w:lang w:eastAsia="zh-CN"/>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（北京时间），截止时间后上传的任何投标文件恕不接受。</w:t>
      </w:r>
      <w:bookmarkStart w:id="155" w:name="_GoBack"/>
      <w:r/>
      <w:bookmarkEnd w:id="15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920"/>
        <w:ind w:firstLine="452"/>
        <w:keepLines w:val="0"/>
        <w:keepNext w:val="0"/>
        <w:spacing w:before="0" w:after="0" w:line="360" w:lineRule="auto"/>
        <w:rPr>
          <w:rFonts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项目联系人：施晓旻（项目负责人）、曾舒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无锡市梁溪区扬名街道社区卫生服务中心</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无锡市梁溪区芦庄一区17-4号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本项目为不见面开标，投标人无需递交纸质投标文件至现场，中标后中标供应商需向采购代理机构提供中标的采购包与电子投标文件完全一致的签章的纸质投标文件并在封面加盖单位公章（2份）。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20823274"/>
      <w:r/>
      <w:bookmarkStart w:id="2" w:name="_Toc513029202"/>
      <w:r/>
      <w:bookmarkStart w:id="3" w:name="_Toc120614213"/>
      <w:r/>
      <w:bookmarkStart w:id="4" w:name="_Toc16938518"/>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20"/>
        <w:ind w:firstLine="452"/>
        <w:keepLines w:val="0"/>
        <w:keepNext w:val="0"/>
        <w:spacing w:before="0" w:after="0" w:line="360" w:lineRule="auto"/>
        <w:rPr>
          <w:rFonts w:ascii="宋体" w:hAnsi="宋体" w:cs="宋体"/>
          <w:color w:val="auto"/>
          <w:sz w:val="30"/>
          <w:szCs w:val="30"/>
          <w:highlight w:val="none"/>
          <w:lang w:eastAsia="zh-CN"/>
        </w:rPr>
      </w:pPr>
      <w:r/>
      <w:bookmarkStart w:id="5" w:name="_Toc16938519"/>
      <w:r/>
      <w:bookmarkStart w:id="6" w:name="_Toc20823275"/>
      <w:r/>
      <w:bookmarkStart w:id="7" w:name="_Toc513029203"/>
      <w:r/>
      <w:bookmarkStart w:id="8" w:name="_Toc120614214"/>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9" w:name="_Hlt16619475"/>
      <w:r/>
      <w:bookmarkEnd w:id="9"/>
      <w:r/>
      <w:bookmarkStart w:id="10" w:name="_Toc20823276"/>
      <w:r/>
      <w:bookmarkStart w:id="11" w:name="_Toc513029204"/>
      <w:r/>
      <w:bookmarkStart w:id="12" w:name="_Toc16938520"/>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3" w:name="_Toc16938521"/>
      <w:r/>
      <w:bookmarkStart w:id="14" w:name="_Toc513029205"/>
      <w:r/>
      <w:bookmarkStart w:id="15" w:name="_Toc20823277"/>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6" w:name="_Toc16938522"/>
      <w:r/>
      <w:bookmarkStart w:id="17" w:name="_Toc513029206"/>
      <w:r/>
      <w:bookmarkStart w:id="18" w:name="_Toc20823278"/>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9" w:name="_Toc462564067"/>
      <w:r/>
      <w:bookmarkStart w:id="20" w:name="_Toc20823279"/>
      <w:r/>
      <w:bookmarkStart w:id="21" w:name="_Toc16938523"/>
      <w:r/>
      <w:bookmarkStart w:id="22" w:name="_Toc513029207"/>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ascii="宋体" w:hAnsi="宋体" w:eastAsia="宋体" w:cs="宋体"/>
          <w:color w:val="auto"/>
          <w:sz w:val="24"/>
          <w:highlight w:val="none"/>
          <w:u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。本项目代理费以采购包预算金额为计算基数，</w:t>
      </w:r>
      <w:r>
        <w:rPr>
          <w:rFonts w:hint="eastAsia" w:ascii="宋体" w:hAnsi="宋体"/>
          <w:color w:val="auto"/>
          <w:sz w:val="24"/>
          <w:highlight w:val="none"/>
          <w:u w:val="none"/>
        </w:rPr>
        <w:t xml:space="preserve">按照差额定律累进计费方式</w:t>
      </w:r>
      <w:r>
        <w:rPr>
          <w:rFonts w:hint="eastAsia" w:ascii="宋体" w:hAnsi="宋体"/>
          <w:color w:val="auto"/>
          <w:sz w:val="24"/>
          <w:highlight w:val="none"/>
          <w:u w:val="none"/>
          <w:lang w:val="en-US" w:eastAsia="zh-CN"/>
        </w:rPr>
        <w:t xml:space="preserve">打六折</w:t>
      </w:r>
      <w:r>
        <w:rPr>
          <w:rFonts w:hint="eastAsia" w:ascii="宋体" w:hAnsi="宋体"/>
          <w:color w:val="auto"/>
          <w:sz w:val="24"/>
          <w:highlight w:val="none"/>
          <w:u w:val="none"/>
        </w:rPr>
        <w:t xml:space="preserve">计算</w:t>
      </w:r>
      <w:r>
        <w:rPr>
          <w:rFonts w:hint="eastAsia" w:ascii="宋体" w:hAnsi="宋体"/>
          <w:color w:val="auto"/>
          <w:sz w:val="24"/>
          <w:highlight w:val="none"/>
          <w:u w:val="none"/>
          <w:lang w:eastAsia="zh-CN"/>
        </w:rPr>
        <w:t xml:space="preserve">，</w:t>
      </w:r>
      <w:r>
        <w:rPr>
          <w:rFonts w:hint="eastAsia" w:ascii="宋体" w:hAnsi="宋体"/>
          <w:color w:val="auto"/>
          <w:sz w:val="24"/>
          <w:highlight w:val="none"/>
          <w:u w:val="none"/>
        </w:rPr>
        <w:t xml:space="preserve">标准如下</w:t>
      </w:r>
      <w:r>
        <w:rPr>
          <w:rFonts w:hint="eastAsia" w:ascii="宋体" w:hAnsi="宋体" w:eastAsia="宋体"/>
          <w:color w:val="auto"/>
          <w:sz w:val="24"/>
          <w:highlight w:val="none"/>
          <w:u w:val="none"/>
          <w:lang w:eastAsia="zh-CN"/>
        </w:rPr>
        <w:t xml:space="preserve">：</w:t>
      </w:r>
      <w:r>
        <w:rPr>
          <w:rFonts w:hint="eastAsia" w:ascii="宋体" w:hAnsi="宋体"/>
          <w:color w:val="auto"/>
          <w:sz w:val="24"/>
          <w:highlight w:val="none"/>
          <w:u w:val="none"/>
        </w:rPr>
        <w:t xml:space="preserve">金额100万元以下的部分</w:t>
      </w:r>
      <w:r>
        <w:rPr>
          <w:rFonts w:hint="eastAsia" w:ascii="宋体" w:hAnsi="宋体" w:eastAsia="宋体"/>
          <w:color w:val="auto"/>
          <w:sz w:val="24"/>
          <w:highlight w:val="none"/>
          <w:u w:val="none"/>
          <w:lang w:eastAsia="zh-CN"/>
        </w:rPr>
        <w:t xml:space="preserve">，</w:t>
      </w:r>
      <w:r>
        <w:rPr>
          <w:rFonts w:hint="eastAsia" w:ascii="宋体" w:hAnsi="宋体"/>
          <w:color w:val="auto"/>
          <w:sz w:val="24"/>
          <w:highlight w:val="none"/>
          <w:u w:val="none"/>
        </w:rPr>
        <w:t xml:space="preserve">服务类采购费率1.50%</w:t>
      </w:r>
      <w:r>
        <w:rPr>
          <w:rFonts w:hint="eastAsia" w:ascii="宋体" w:hAnsi="宋体"/>
          <w:color w:val="auto"/>
          <w:sz w:val="24"/>
          <w:highlight w:val="none"/>
          <w:u w:val="none"/>
          <w:lang w:eastAsia="zh-CN"/>
        </w:rPr>
        <w:t xml:space="preserve">，</w:t>
      </w:r>
      <w:r>
        <w:rPr>
          <w:rFonts w:hint="eastAsia" w:ascii="宋体" w:hAnsi="宋体"/>
          <w:color w:val="auto"/>
          <w:sz w:val="24"/>
          <w:highlight w:val="none"/>
          <w:u w:val="none"/>
        </w:rPr>
        <w:t xml:space="preserve">金额100万元</w:t>
      </w:r>
      <w:r>
        <w:rPr>
          <w:rFonts w:hint="eastAsia" w:ascii="宋体" w:hAnsi="宋体"/>
          <w:color w:val="auto"/>
          <w:sz w:val="24"/>
          <w:highlight w:val="none"/>
          <w:u w:val="none"/>
          <w:lang w:val="en-US" w:eastAsia="zh-CN"/>
        </w:rPr>
        <w:t xml:space="preserve">-500万元</w:t>
      </w:r>
      <w:r>
        <w:rPr>
          <w:rFonts w:hint="eastAsia" w:ascii="宋体" w:hAnsi="宋体"/>
          <w:color w:val="auto"/>
          <w:sz w:val="24"/>
          <w:highlight w:val="none"/>
          <w:u w:val="none"/>
        </w:rPr>
        <w:t xml:space="preserve">的部分</w:t>
      </w:r>
      <w:r>
        <w:rPr>
          <w:rFonts w:hint="eastAsia" w:ascii="宋体" w:hAnsi="宋体" w:eastAsia="宋体"/>
          <w:color w:val="auto"/>
          <w:sz w:val="24"/>
          <w:highlight w:val="none"/>
          <w:u w:val="none"/>
          <w:lang w:eastAsia="zh-CN"/>
        </w:rPr>
        <w:t xml:space="preserve">，</w:t>
      </w:r>
      <w:r>
        <w:rPr>
          <w:rFonts w:hint="eastAsia" w:ascii="宋体" w:hAnsi="宋体"/>
          <w:color w:val="auto"/>
          <w:sz w:val="24"/>
          <w:highlight w:val="none"/>
          <w:u w:val="none"/>
        </w:rPr>
        <w:t xml:space="preserve">服务类采购费率</w:t>
      </w:r>
      <w:r>
        <w:rPr>
          <w:rFonts w:hint="eastAsia" w:ascii="宋体" w:hAnsi="宋体"/>
          <w:color w:val="auto"/>
          <w:sz w:val="24"/>
          <w:highlight w:val="none"/>
          <w:u w:val="none"/>
          <w:lang w:val="en-US" w:eastAsia="zh-CN"/>
        </w:rPr>
        <w:t xml:space="preserve">0.8</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w:t>
      </w:r>
      <w:r>
        <w:rPr>
          <w:rFonts w:hint="eastAsia" w:ascii="宋体" w:hAnsi="宋体"/>
          <w:color w:val="auto"/>
          <w:sz w:val="24"/>
          <w:highlight w:val="none"/>
          <w:u w:val="none"/>
        </w:rPr>
        <w:t xml:space="preserve">金额</w:t>
      </w:r>
      <w:r>
        <w:rPr>
          <w:rFonts w:hint="eastAsia" w:ascii="宋体" w:hAnsi="宋体"/>
          <w:color w:val="auto"/>
          <w:sz w:val="24"/>
          <w:highlight w:val="none"/>
          <w:u w:val="none"/>
          <w:lang w:val="en-US" w:eastAsia="zh-CN"/>
        </w:rPr>
        <w:t xml:space="preserve">5</w:t>
      </w:r>
      <w:r>
        <w:rPr>
          <w:rFonts w:hint="eastAsia" w:ascii="宋体" w:hAnsi="宋体"/>
          <w:color w:val="auto"/>
          <w:sz w:val="24"/>
          <w:highlight w:val="none"/>
          <w:u w:val="none"/>
        </w:rPr>
        <w:t xml:space="preserve">00万元</w:t>
      </w:r>
      <w:r>
        <w:rPr>
          <w:rFonts w:hint="eastAsia" w:ascii="宋体" w:hAnsi="宋体"/>
          <w:color w:val="auto"/>
          <w:sz w:val="24"/>
          <w:highlight w:val="none"/>
          <w:u w:val="none"/>
          <w:lang w:val="en-US" w:eastAsia="zh-CN"/>
        </w:rPr>
        <w:t xml:space="preserve">-1000万元</w:t>
      </w:r>
      <w:r>
        <w:rPr>
          <w:rFonts w:hint="eastAsia" w:ascii="宋体" w:hAnsi="宋体"/>
          <w:color w:val="auto"/>
          <w:sz w:val="24"/>
          <w:highlight w:val="none"/>
          <w:u w:val="none"/>
        </w:rPr>
        <w:t xml:space="preserve">的部分</w:t>
      </w:r>
      <w:r>
        <w:rPr>
          <w:rFonts w:hint="eastAsia" w:ascii="宋体" w:hAnsi="宋体" w:eastAsia="宋体"/>
          <w:color w:val="auto"/>
          <w:sz w:val="24"/>
          <w:highlight w:val="none"/>
          <w:u w:val="none"/>
          <w:lang w:eastAsia="zh-CN"/>
        </w:rPr>
        <w:t xml:space="preserve">，</w:t>
      </w:r>
      <w:r>
        <w:rPr>
          <w:rFonts w:hint="eastAsia" w:ascii="宋体" w:hAnsi="宋体"/>
          <w:color w:val="auto"/>
          <w:sz w:val="24"/>
          <w:highlight w:val="none"/>
          <w:u w:val="none"/>
        </w:rPr>
        <w:t xml:space="preserve">服务类采购费率</w:t>
      </w:r>
      <w:r>
        <w:rPr>
          <w:rFonts w:hint="eastAsia" w:ascii="宋体" w:hAnsi="宋体"/>
          <w:color w:val="auto"/>
          <w:sz w:val="24"/>
          <w:highlight w:val="none"/>
          <w:u w:val="none"/>
          <w:lang w:val="en-US" w:eastAsia="zh-CN"/>
        </w:rPr>
        <w:t xml:space="preserve">0.45</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w:t>
      </w:r>
      <w:r>
        <w:rPr>
          <w:rFonts w:hint="eastAsia" w:ascii="宋体" w:hAnsi="宋体"/>
          <w:color w:val="auto"/>
          <w:sz w:val="24"/>
          <w:highlight w:val="none"/>
          <w:u w:val="none"/>
        </w:rPr>
        <w:t xml:space="preserve">金额</w:t>
      </w:r>
      <w:r>
        <w:rPr>
          <w:rFonts w:hint="eastAsia" w:ascii="宋体" w:hAnsi="宋体"/>
          <w:color w:val="auto"/>
          <w:sz w:val="24"/>
          <w:highlight w:val="none"/>
          <w:u w:val="none"/>
          <w:lang w:val="en-US" w:eastAsia="zh-CN"/>
        </w:rPr>
        <w:t xml:space="preserve">10</w:t>
      </w:r>
      <w:r>
        <w:rPr>
          <w:rFonts w:hint="eastAsia" w:ascii="宋体" w:hAnsi="宋体"/>
          <w:color w:val="auto"/>
          <w:sz w:val="24"/>
          <w:highlight w:val="none"/>
          <w:u w:val="none"/>
        </w:rPr>
        <w:t xml:space="preserve">00万元</w:t>
      </w:r>
      <w:r>
        <w:rPr>
          <w:rFonts w:hint="eastAsia" w:ascii="宋体" w:hAnsi="宋体"/>
          <w:color w:val="auto"/>
          <w:sz w:val="24"/>
          <w:highlight w:val="none"/>
          <w:u w:val="none"/>
          <w:lang w:val="en-US" w:eastAsia="zh-CN"/>
        </w:rPr>
        <w:t xml:space="preserve">-5000万元</w:t>
      </w:r>
      <w:r>
        <w:rPr>
          <w:rFonts w:hint="eastAsia" w:ascii="宋体" w:hAnsi="宋体"/>
          <w:color w:val="auto"/>
          <w:sz w:val="24"/>
          <w:highlight w:val="none"/>
          <w:u w:val="none"/>
        </w:rPr>
        <w:t xml:space="preserve">的部分</w:t>
      </w:r>
      <w:r>
        <w:rPr>
          <w:rFonts w:hint="eastAsia" w:ascii="宋体" w:hAnsi="宋体" w:eastAsia="宋体"/>
          <w:color w:val="auto"/>
          <w:sz w:val="24"/>
          <w:highlight w:val="none"/>
          <w:u w:val="none"/>
          <w:lang w:eastAsia="zh-CN"/>
        </w:rPr>
        <w:t xml:space="preserve">，</w:t>
      </w:r>
      <w:r>
        <w:rPr>
          <w:rFonts w:hint="eastAsia" w:ascii="宋体" w:hAnsi="宋体"/>
          <w:color w:val="auto"/>
          <w:sz w:val="24"/>
          <w:highlight w:val="none"/>
          <w:u w:val="none"/>
        </w:rPr>
        <w:t xml:space="preserve">服务类采购费率</w:t>
      </w:r>
      <w:r>
        <w:rPr>
          <w:rFonts w:hint="eastAsia" w:ascii="宋体" w:hAnsi="宋体"/>
          <w:color w:val="auto"/>
          <w:sz w:val="24"/>
          <w:highlight w:val="none"/>
          <w:u w:val="none"/>
          <w:lang w:val="en-US" w:eastAsia="zh-CN"/>
        </w:rPr>
        <w:t xml:space="preserve">0.25</w:t>
      </w:r>
      <w:r>
        <w:rPr>
          <w:rFonts w:hint="eastAsia" w:ascii="宋体" w:hAnsi="宋体"/>
          <w:color w:val="auto"/>
          <w:sz w:val="24"/>
          <w:highlight w:val="none"/>
          <w:u w:val="none"/>
        </w:rPr>
        <w:t xml:space="preserve">%</w:t>
      </w:r>
      <w:r>
        <w:rPr>
          <w:rFonts w:hint="eastAsia" w:ascii="宋体" w:hAnsi="宋体" w:eastAsia="宋体" w:cs="宋体"/>
          <w:bCs/>
          <w:color w:val="auto"/>
          <w:sz w:val="24"/>
          <w:highlight w:val="none"/>
          <w:u w:val="none"/>
        </w:rPr>
        <w:t xml:space="preserve">。</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20"/>
        <w:ind w:firstLine="452"/>
        <w:keepLines w:val="0"/>
        <w:keepNext w:val="0"/>
        <w:spacing w:before="0" w:after="0" w:line="360" w:lineRule="auto"/>
        <w:rPr>
          <w:rFonts w:ascii="宋体" w:hAnsi="宋体" w:cs="宋体"/>
          <w:color w:val="auto"/>
          <w:sz w:val="30"/>
          <w:szCs w:val="30"/>
          <w:highlight w:val="none"/>
          <w:lang w:eastAsia="zh-CN"/>
        </w:rPr>
      </w:pPr>
      <w:r/>
      <w:bookmarkStart w:id="23" w:name="_Toc513029209"/>
      <w:r/>
      <w:bookmarkStart w:id="24" w:name="_Toc120614215"/>
      <w:r/>
      <w:bookmarkStart w:id="25" w:name="_Toc16938525"/>
      <w:r/>
      <w:bookmarkStart w:id="26" w:name="_Toc20823281"/>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27" w:name="_Toc513029210"/>
      <w:r/>
      <w:bookmarkStart w:id="28" w:name="_Toc16938526"/>
      <w:r/>
      <w:bookmarkStart w:id="29" w:name="_Toc20823282"/>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30" w:name="_Toc16938527"/>
      <w:r/>
      <w:bookmarkStart w:id="31" w:name="_Toc462564070"/>
      <w:r/>
      <w:bookmarkStart w:id="32" w:name="_Toc20823283"/>
      <w:r/>
      <w:bookmarkStart w:id="33" w:name="_Toc513029211"/>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34" w:name="_Toc16938528"/>
      <w:r/>
      <w:bookmarkStart w:id="35" w:name="_Toc513029212"/>
      <w:r/>
      <w:bookmarkStart w:id="36" w:name="_Toc20823284"/>
      <w:r/>
      <w:bookmarkStart w:id="37" w:name="_Toc462564071"/>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20"/>
        <w:ind w:firstLine="452"/>
        <w:keepLines w:val="0"/>
        <w:keepNext w:val="0"/>
        <w:spacing w:before="0" w:after="0" w:line="360" w:lineRule="auto"/>
        <w:rPr>
          <w:rFonts w:ascii="宋体" w:hAnsi="宋体" w:cs="宋体"/>
          <w:color w:val="auto"/>
          <w:sz w:val="30"/>
          <w:szCs w:val="30"/>
          <w:highlight w:val="none"/>
          <w:lang w:eastAsia="zh-CN"/>
        </w:rPr>
      </w:pPr>
      <w:r/>
      <w:bookmarkStart w:id="38" w:name="_Toc120614216"/>
      <w:r/>
      <w:bookmarkStart w:id="39" w:name="_Toc462564072"/>
      <w:r/>
      <w:bookmarkStart w:id="40" w:name="_Toc20823285"/>
      <w:r/>
      <w:bookmarkStart w:id="41" w:name="_Toc16938529"/>
      <w:r/>
      <w:bookmarkStart w:id="42" w:name="_Toc513029213"/>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728"/>
        <w:numPr>
          <w:ilvl w:val="4"/>
          <w:numId w:val="0"/>
        </w:numPr>
        <w:keepLines w:val="0"/>
        <w:keepNext w:val="0"/>
        <w:spacing w:before="0" w:after="0" w:line="500" w:lineRule="exact"/>
        <w:rPr>
          <w:rFonts w:hint="eastAsia" w:ascii="宋体" w:hAnsi="宋体" w:eastAsia="宋体"/>
          <w:bCs w:val="0"/>
          <w:color w:val="auto"/>
          <w:highlight w:val="none"/>
        </w:rPr>
      </w:pPr>
      <w:r/>
      <w:bookmarkStart w:id="43" w:name="_Toc20823286"/>
      <w:r/>
      <w:bookmarkStart w:id="44" w:name="_Toc16938530"/>
      <w:r/>
      <w:bookmarkStart w:id="45" w:name="_Toc513029214"/>
      <w:r/>
      <w:bookmarkStart w:id="46" w:name="_Toc462564073"/>
      <w:r/>
      <w:bookmarkStart w:id="47" w:name="_Toc20823287"/>
      <w:r/>
      <w:bookmarkStart w:id="48" w:name="_Toc462564074"/>
      <w:r/>
      <w:bookmarkStart w:id="49" w:name="_Toc513029215"/>
      <w:r/>
      <w:bookmarkStart w:id="50" w:name="_Toc16938531"/>
      <w:r>
        <w:rPr>
          <w:rFonts w:hint="eastAsia" w:ascii="宋体" w:hAnsi="宋体" w:eastAsia="宋体"/>
          <w:bCs w:val="0"/>
          <w:color w:val="auto"/>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投标人提交的投标文件以及投标人与普信国际工程咨询有限公司就有关投标的所有来往通知、函件和文件均应使用</w:t>
      </w:r>
      <w:r>
        <w:rPr>
          <w:rFonts w:hint="eastAsia" w:ascii="宋体" w:hAnsi="宋体"/>
          <w:bCs/>
          <w:color w:val="auto"/>
          <w:sz w:val="24"/>
          <w:highlight w:val="none"/>
        </w:rPr>
        <w:t xml:space="preserve">简体中文（规格、型号辅助符号例外）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9.4如无特别说明，</w:t>
      </w:r>
      <w:r>
        <w:rPr>
          <w:rFonts w:hint="eastAsia" w:ascii="宋体" w:hAnsi="宋体"/>
          <w:bCs/>
          <w:color w:val="auto"/>
          <w:sz w:val="24"/>
          <w:highlight w:val="none"/>
        </w:rPr>
        <w:t xml:space="preserve">投标人报价一律以人民币为投标结算货币，结算单位为“元”。</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9.5投标文件格式部分，应由投标人按给定格式提供，不得更改。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9.7投标费用自理。</w:t>
      </w:r>
      <w:r/>
    </w:p>
    <w:p>
      <w:pPr>
        <w:ind w:firstLine="480"/>
        <w:spacing w:line="360" w:lineRule="auto"/>
        <w:rPr>
          <w:rFonts w:hint="eastAsia" w:ascii="宋体" w:hAnsi="宋体" w:eastAsia="宋体" w:cs="Times New Roman"/>
          <w:b/>
          <w:color w:val="auto"/>
          <w:sz w:val="24"/>
          <w:szCs w:val="24"/>
          <w:highlight w:val="none"/>
          <w:lang w:eastAsia="zh-CN"/>
        </w:rPr>
      </w:pPr>
      <w:r>
        <w:rPr>
          <w:rFonts w:hint="eastAsia" w:ascii="宋体" w:hAnsi="宋体"/>
          <w:b/>
          <w:color w:val="auto"/>
          <w:sz w:val="24"/>
          <w:szCs w:val="24"/>
          <w:highlight w:val="none"/>
        </w:rPr>
        <w:t xml:space="preserve">9.8在评分标准中除了投标报价外</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还须包含明标（投标人综合实力）和暗标（技术方案）</w:t>
      </w:r>
      <w:r>
        <w:rPr>
          <w:rFonts w:hint="eastAsia" w:ascii="宋体" w:hAnsi="宋体" w:eastAsia="宋体" w:cs="Times New Roman"/>
          <w:b/>
          <w:color w:val="auto"/>
          <w:sz w:val="24"/>
          <w:szCs w:val="24"/>
          <w:highlight w:val="none"/>
        </w:rPr>
        <w:t xml:space="preserve">两大部分</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其暗标编制要求如下</w:t>
      </w:r>
      <w:r>
        <w:rPr>
          <w:rFonts w:hint="eastAsia" w:ascii="宋体" w:hAnsi="宋体" w:eastAsia="宋体" w:cs="Times New Roman"/>
          <w:b/>
          <w:color w:val="auto"/>
          <w:sz w:val="24"/>
          <w:szCs w:val="24"/>
          <w:highlight w:val="none"/>
          <w:lang w:eastAsia="zh-CN"/>
        </w:rPr>
        <w:t xml:space="preserve">：</w:t>
      </w:r>
      <w:r/>
    </w:p>
    <w:p>
      <w:pPr>
        <w:ind w:firstLine="480"/>
        <w:spacing w:line="360" w:lineRule="auto"/>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暗标不得出现投标人名称、人员姓名</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要求版面整洁、字迹清楚、不许涂改</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不得出现能显示企业特征</w:t>
      </w:r>
      <w:r>
        <w:rPr>
          <w:rFonts w:hint="eastAsia" w:ascii="宋体" w:hAnsi="宋体" w:eastAsia="宋体" w:cs="Times New Roman"/>
          <w:b/>
          <w:color w:val="auto"/>
          <w:sz w:val="24"/>
          <w:szCs w:val="24"/>
          <w:highlight w:val="none"/>
          <w:lang w:eastAsia="zh-CN"/>
        </w:rPr>
        <w:t xml:space="preserve">或其他</w:t>
      </w:r>
      <w:r>
        <w:rPr>
          <w:rFonts w:hint="eastAsia" w:ascii="宋体" w:hAnsi="宋体" w:eastAsia="宋体" w:cs="Times New Roman"/>
          <w:b/>
          <w:color w:val="auto"/>
          <w:sz w:val="24"/>
          <w:szCs w:val="24"/>
          <w:highlight w:val="none"/>
        </w:rPr>
        <w:t xml:space="preserve">提示性的标记或标识</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也不得采用任何不符合常规、</w:t>
      </w:r>
      <w:r>
        <w:rPr>
          <w:rFonts w:hint="eastAsia" w:ascii="宋体" w:hAnsi="宋体" w:eastAsia="宋体" w:cs="Times New Roman"/>
          <w:b/>
          <w:color w:val="auto"/>
          <w:sz w:val="24"/>
          <w:szCs w:val="24"/>
          <w:highlight w:val="none"/>
          <w:lang w:eastAsia="zh-CN"/>
        </w:rPr>
        <w:t xml:space="preserve">有别于其他</w:t>
      </w:r>
      <w:r>
        <w:rPr>
          <w:rFonts w:hint="eastAsia" w:ascii="宋体" w:hAnsi="宋体" w:eastAsia="宋体" w:cs="Times New Roman"/>
          <w:b/>
          <w:color w:val="auto"/>
          <w:sz w:val="24"/>
          <w:szCs w:val="24"/>
          <w:highlight w:val="none"/>
        </w:rPr>
        <w:t xml:space="preserve">投标人的特殊做法等</w:t>
      </w:r>
      <w:r>
        <w:rPr>
          <w:rFonts w:hint="eastAsia" w:ascii="宋体" w:hAnsi="宋体" w:eastAsia="宋体" w:cs="Times New Roman"/>
          <w:b/>
          <w:color w:val="auto"/>
          <w:sz w:val="24"/>
          <w:szCs w:val="24"/>
          <w:highlight w:val="none"/>
          <w:lang w:eastAsia="zh-CN"/>
        </w:rPr>
        <w:t xml:space="preserve">。</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bCs w:val="0"/>
          <w:color w:val="auto"/>
          <w:sz w:val="24"/>
          <w:highlight w:val="none"/>
          <w:u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10.5</w:t>
      </w:r>
      <w:r>
        <w:rPr>
          <w:rFonts w:hint="eastAsia" w:ascii="宋体" w:hAnsi="宋体" w:eastAsia="宋体" w:cs="宋体"/>
          <w:b/>
          <w:color w:val="auto"/>
          <w:sz w:val="24"/>
          <w:szCs w:val="24"/>
          <w:highlight w:val="none"/>
          <w:lang w:val="en-US" w:eastAsia="zh-CN"/>
        </w:rPr>
        <w:t xml:space="preserve">暗标</w:t>
      </w:r>
      <w:r>
        <w:rPr>
          <w:rFonts w:hint="eastAsia" w:ascii="宋体" w:hAnsi="宋体" w:eastAsia="宋体" w:cs="宋体"/>
          <w:b/>
          <w:color w:val="auto"/>
          <w:sz w:val="24"/>
          <w:szCs w:val="24"/>
          <w:highlight w:val="none"/>
        </w:rPr>
        <w:t xml:space="preserve">排版要求：字体为黑色、小四号宋体，不得出现手写，不得设置页眉，页脚；如有表格，表格中字体用宋体字，字号不作限制。如有图片</w:t>
      </w:r>
      <w:r>
        <w:rPr>
          <w:rFonts w:hint="eastAsia" w:ascii="宋体" w:hAnsi="宋体" w:eastAsia="宋体" w:cs="宋体"/>
          <w:b/>
          <w:color w:val="auto"/>
          <w:sz w:val="24"/>
          <w:szCs w:val="24"/>
          <w:highlight w:val="none"/>
          <w:lang w:val="en-US" w:eastAsia="zh-CN"/>
        </w:rPr>
        <w:t xml:space="preserve">可以</w:t>
      </w:r>
      <w:r>
        <w:rPr>
          <w:rFonts w:hint="eastAsia" w:ascii="宋体" w:hAnsi="宋体" w:eastAsia="宋体" w:cs="宋体"/>
          <w:b/>
          <w:color w:val="auto"/>
          <w:sz w:val="24"/>
          <w:szCs w:val="24"/>
          <w:highlight w:val="none"/>
        </w:rPr>
        <w:t xml:space="preserve">为彩色，图片不得出现能显示企业特征或其他提示性的标记或标识。</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51" w:name="_Hlt26670360"/>
      <w:r/>
      <w:bookmarkEnd w:id="51"/>
      <w:r/>
      <w:bookmarkStart w:id="52" w:name="_Hlt26954838"/>
      <w:r/>
      <w:bookmarkEnd w:id="52"/>
      <w:r/>
      <w:bookmarkStart w:id="53" w:name="_Hlt26668975"/>
      <w:r/>
      <w:bookmarkEnd w:id="53"/>
      <w:r/>
      <w:bookmarkStart w:id="54" w:name="_Toc49090509"/>
      <w:r/>
      <w:bookmarkStart w:id="55" w:name="_Toc513029219"/>
      <w:r/>
      <w:bookmarkStart w:id="56" w:name="_Toc14577357"/>
      <w:r/>
      <w:bookmarkStart w:id="57" w:name="_Toc14577354"/>
      <w:r/>
      <w:bookmarkStart w:id="58" w:name="_Toc513029216"/>
      <w:r/>
      <w:bookmarkStart w:id="59" w:name="_Toc49090507"/>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bookmarkEnd w:id="58"/>
      <w:bookmarkEnd w:id="59"/>
      <w:r/>
    </w:p>
    <w:p>
      <w:pPr>
        <w:ind w:firstLine="480"/>
        <w:spacing w:line="360" w:lineRule="auto"/>
        <w:rPr>
          <w:rFonts w:ascii="宋体" w:hAnsi="宋体" w:eastAsia="宋体" w:cs="宋体"/>
          <w:bCs/>
          <w:color w:val="auto"/>
          <w:sz w:val="24"/>
          <w:highlight w:val="none"/>
        </w:rPr>
      </w:pPr>
      <w:r/>
      <w:bookmarkStart w:id="60" w:name="_Toc49090508"/>
      <w:r/>
      <w:bookmarkStart w:id="6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11.1投标人应按照法律法规、规章和规范性文件以及招标文件要求提交证明文件，证明其投标标的符合招标文件的规定。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62" w:name="_Toc14577359"/>
      <w:r/>
      <w:bookmarkStart w:id="63" w:name="_Toc49090510"/>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66" w:name="_Hlt26954846"/>
      <w:r/>
      <w:bookmarkEnd w:id="66"/>
      <w:r/>
      <w:bookmarkStart w:id="67" w:name="_Hlt26670482"/>
      <w:r/>
      <w:bookmarkEnd w:id="67"/>
      <w:r/>
      <w:bookmarkStart w:id="68" w:name="_Hlt26670403"/>
      <w:r/>
      <w:bookmarkEnd w:id="68"/>
      <w:r/>
      <w:bookmarkStart w:id="69" w:name="_Hlt26670486"/>
      <w:r/>
      <w:bookmarkEnd w:id="69"/>
      <w:r/>
      <w:bookmarkStart w:id="70" w:name="_Hlt26954731"/>
      <w:r/>
      <w:bookmarkEnd w:id="70"/>
      <w:r/>
      <w:bookmarkStart w:id="71" w:name="_Hlt26954842"/>
      <w:r/>
      <w:bookmarkEnd w:id="71"/>
      <w:r/>
      <w:bookmarkStart w:id="72" w:name="_Hlt26954844"/>
      <w:r/>
      <w:bookmarkEnd w:id="72"/>
      <w:r/>
      <w:bookmarkStart w:id="73" w:name="_Hlt26670425"/>
      <w:r/>
      <w:bookmarkEnd w:id="73"/>
      <w:r/>
      <w:bookmarkStart w:id="74" w:name="_Hlt26954848"/>
      <w:r/>
      <w:bookmarkEnd w:id="74"/>
      <w:r/>
      <w:bookmarkStart w:id="75" w:name="_Hlt26668983"/>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76" w:name="_Hlt26954734"/>
      <w:r/>
      <w:bookmarkEnd w:id="76"/>
      <w:r/>
      <w:bookmarkStart w:id="77" w:name="_Hlt26954850"/>
      <w:r/>
      <w:bookmarkEnd w:id="77"/>
      <w:r/>
      <w:bookmarkStart w:id="78" w:name="_Hlt26670489"/>
      <w:r/>
      <w:bookmarkEnd w:id="78"/>
      <w:r/>
      <w:bookmarkStart w:id="79" w:name="_Toc49090511"/>
      <w:r/>
      <w:bookmarkStart w:id="80" w:name="_Toc14577360"/>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20"/>
        <w:ind w:firstLine="452"/>
        <w:keepLines w:val="0"/>
        <w:keepNext w:val="0"/>
        <w:spacing w:before="0" w:after="0" w:line="360" w:lineRule="auto"/>
        <w:rPr>
          <w:rFonts w:ascii="宋体" w:hAnsi="宋体" w:cs="宋体"/>
          <w:color w:val="auto"/>
          <w:sz w:val="30"/>
          <w:szCs w:val="30"/>
          <w:highlight w:val="none"/>
          <w:lang w:eastAsia="zh-CN"/>
        </w:rPr>
      </w:pPr>
      <w:r/>
      <w:bookmarkStart w:id="81" w:name="_Hlt26954852"/>
      <w:r/>
      <w:bookmarkEnd w:id="81"/>
      <w:r/>
      <w:bookmarkStart w:id="82" w:name="_Hlt26954739"/>
      <w:r/>
      <w:bookmarkEnd w:id="82"/>
      <w:r/>
      <w:bookmarkStart w:id="83" w:name="_Toc513029224"/>
      <w:r/>
      <w:bookmarkStart w:id="84" w:name="_Toc120614217"/>
      <w:r/>
      <w:bookmarkStart w:id="85" w:name="_Toc16938540"/>
      <w:r/>
      <w:bookmarkStart w:id="86" w:name="_Toc20823296"/>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87" w:name="_Toc20823297"/>
      <w:r/>
      <w:bookmarkStart w:id="88" w:name="_Toc513029225"/>
      <w:r/>
      <w:bookmarkStart w:id="89" w:name="_Toc462564084"/>
      <w:r/>
      <w:bookmarkStart w:id="90" w:name="_Toc16938541"/>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74"/>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20823298"/>
      <w:r/>
      <w:bookmarkStart w:id="92" w:name="_Toc513029226"/>
      <w:r/>
      <w:bookmarkStart w:id="93" w:name="_Toc16938542"/>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94" w:name="_Toc513029227"/>
      <w:r/>
      <w:bookmarkStart w:id="95" w:name="_Toc16938543"/>
      <w:r/>
      <w:bookmarkStart w:id="96" w:name="_Toc20823299"/>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97" w:name="_Toc513029228"/>
      <w:r/>
      <w:bookmarkStart w:id="98" w:name="_Toc20823300"/>
      <w:r/>
      <w:bookmarkStart w:id="99" w:name="_Toc16938544"/>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20"/>
        <w:ind w:firstLine="452"/>
        <w:keepLines w:val="0"/>
        <w:keepNext w:val="0"/>
        <w:spacing w:before="0" w:after="0" w:line="360" w:lineRule="auto"/>
        <w:rPr>
          <w:rFonts w:ascii="宋体" w:hAnsi="宋体" w:cs="宋体"/>
          <w:color w:val="auto"/>
          <w:sz w:val="30"/>
          <w:szCs w:val="30"/>
          <w:highlight w:val="none"/>
          <w:lang w:eastAsia="zh-CN"/>
        </w:rPr>
      </w:pPr>
      <w:r/>
      <w:bookmarkStart w:id="100" w:name="_Toc120614218"/>
      <w:r/>
      <w:bookmarkStart w:id="101" w:name="_Toc20823301"/>
      <w:r/>
      <w:bookmarkStart w:id="102" w:name="_Toc513029229"/>
      <w:r/>
      <w:bookmarkStart w:id="103" w:name="_Toc16938545"/>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04" w:name="_Toc513029230"/>
      <w:r/>
      <w:bookmarkStart w:id="105" w:name="_Toc20823302"/>
      <w:r/>
      <w:bookmarkStart w:id="106" w:name="_Toc16938546"/>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07" w:name="_Toc513029231"/>
      <w:r/>
      <w:bookmarkStart w:id="108" w:name="_Toc16938547"/>
      <w:r/>
      <w:bookmarkStart w:id="109" w:name="_Toc20823303"/>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10" w:name="_Toc513029232"/>
      <w:r/>
      <w:bookmarkStart w:id="111" w:name="_Toc20823304"/>
      <w:r/>
      <w:bookmarkStart w:id="112" w:name="_Toc16938548"/>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13" w:name="_Toc16938549"/>
      <w:r/>
      <w:bookmarkStart w:id="114" w:name="_Toc20823305"/>
      <w:r/>
      <w:bookmarkStart w:id="115" w:name="_Toc513029233"/>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bookmarkStart w:id="116" w:name="_Toc16938550"/>
      <w:r/>
      <w:bookmarkStart w:id="117" w:name="_Toc20823306"/>
      <w:r/>
      <w:bookmarkStart w:id="118" w:name="_Toc513029234"/>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投标（响应）报价低于采购项目预算50%的，即投标（响应）报价&lt;采购项目预算×50%；</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投标（响应）报价低于采购项目最高限价45%的，即投标（响应）报价&lt;采购项目最高限价×45%；</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评审委员会认定的供应商报价过低、有可能影响产品质量或者不能诚信履约的其他情形。</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ascii="宋体" w:hAnsi="宋体" w:eastAsia="宋体" w:cs="宋体"/>
          <w:bCs/>
          <w:color w:val="auto"/>
          <w:sz w:val="24"/>
          <w:highlight w:val="none"/>
        </w:rPr>
      </w:pPr>
      <w:r/>
      <w:bookmarkStart w:id="119" w:name="_Toc20823307"/>
      <w:r/>
      <w:bookmarkStart w:id="120" w:name="_Toc16938551"/>
      <w:r/>
      <w:bookmarkStart w:id="121" w:name="_Toc513029235"/>
      <w:r>
        <w:rPr>
          <w:rFonts w:hint="eastAsia" w:ascii="宋体" w:hAnsi="宋体" w:eastAsia="宋体" w:cs="宋体"/>
          <w:bCs/>
          <w:color w:val="auto"/>
          <w:sz w:val="24"/>
          <w:highlight w:val="none"/>
        </w:rPr>
        <w:t xml:space="preserve">26.1无效投标条款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26.1.24其他法律法规及本招标文件规定的无效投标的情形。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0"/>
        <w:ind w:firstLine="452"/>
        <w:keepLines w:val="0"/>
        <w:keepNext w:val="0"/>
        <w:spacing w:before="0" w:after="0" w:line="360" w:lineRule="auto"/>
        <w:rPr>
          <w:rFonts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58"/>
        <w:ind w:firstLine="480"/>
        <w:spacing w:before="0" w:beforeAutospacing="0" w:after="0" w:afterAutospacing="0" w:line="360" w:lineRule="auto"/>
        <w:rPr>
          <w:rFonts w:eastAsia="宋体" w:cs="宋体"/>
          <w:bCs/>
          <w:color w:val="auto"/>
          <w:highlight w:val="none"/>
        </w:rPr>
      </w:pPr>
      <w:r>
        <w:rPr>
          <w:rStyle w:val="763"/>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20"/>
        <w:ind w:firstLine="452"/>
        <w:keepLines w:val="0"/>
        <w:keepNext w:val="0"/>
        <w:spacing w:before="0" w:after="0" w:line="360" w:lineRule="auto"/>
        <w:rPr>
          <w:rFonts w:ascii="宋体" w:hAnsi="宋体" w:cs="宋体"/>
          <w:color w:val="auto"/>
          <w:sz w:val="30"/>
          <w:szCs w:val="30"/>
          <w:highlight w:val="none"/>
          <w:lang w:eastAsia="zh-CN"/>
        </w:rPr>
      </w:pPr>
      <w:r/>
      <w:bookmarkStart w:id="127" w:name="_Toc120614220"/>
      <w:r/>
      <w:bookmarkStart w:id="128" w:name="_Toc16938552"/>
      <w:r/>
      <w:bookmarkStart w:id="129" w:name="_Toc20823308"/>
      <w:r/>
      <w:bookmarkStart w:id="130" w:name="_Toc513029236"/>
      <w:r>
        <w:rPr>
          <w:rFonts w:hint="eastAsia" w:ascii="宋体" w:hAnsi="宋体" w:cs="宋体"/>
          <w:color w:val="auto"/>
          <w:sz w:val="30"/>
          <w:szCs w:val="30"/>
          <w:highlight w:val="none"/>
          <w:lang w:eastAsia="zh-CN"/>
        </w:rPr>
        <w:t xml:space="preserve">七、授予合同</w:t>
      </w:r>
      <w:bookmarkEnd w:id="127"/>
      <w:r/>
      <w:bookmarkEnd w:id="128"/>
      <w:bookmarkEnd w:id="129"/>
      <w:bookmarkEnd w:id="130"/>
      <w:r/>
    </w:p>
    <w:p>
      <w:pPr>
        <w:pStyle w:val="1089"/>
        <w:ind w:firstLine="422"/>
        <w:keepLines w:val="0"/>
        <w:keepNext w:val="0"/>
        <w:spacing w:before="0" w:after="0" w:line="360" w:lineRule="auto"/>
        <w:rPr>
          <w:rFonts w:ascii="宋体" w:hAnsi="宋体" w:eastAsia="宋体" w:cs="宋体"/>
          <w:bCs w:val="0"/>
          <w:color w:val="auto"/>
          <w:highlight w:val="none"/>
          <w:lang w:eastAsia="zh-CN"/>
        </w:rPr>
      </w:pPr>
      <w:r/>
      <w:bookmarkStart w:id="131" w:name="_Toc20823309"/>
      <w:r/>
      <w:bookmarkStart w:id="132" w:name="_Toc16938553"/>
      <w:r/>
      <w:bookmarkStart w:id="133" w:name="_Toc513029237"/>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89"/>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bookmarkEnd w:id="132"/>
      <w:bookmarkEnd w:id="133"/>
      <w:r/>
    </w:p>
    <w:p>
      <w:pPr>
        <w:rPr>
          <w:rFonts w:ascii="宋体" w:hAnsi="宋体" w:cs="宋体"/>
          <w:b/>
          <w:color w:val="auto"/>
          <w:sz w:val="36"/>
          <w:szCs w:val="36"/>
          <w:highlight w:val="none"/>
        </w:rPr>
      </w:pPr>
      <w:r/>
      <w:bookmarkStart w:id="134" w:name="_Toc20823315"/>
      <w:r/>
      <w:bookmarkStart w:id="135" w:name="_Toc16938559"/>
      <w:r/>
      <w:bookmarkStart w:id="136" w:name="_Toc513029243"/>
      <w:r>
        <w:rPr>
          <w:rFonts w:hint="eastAsia" w:ascii="宋体" w:hAnsi="宋体" w:cs="宋体"/>
          <w:b/>
          <w:color w:val="auto"/>
          <w:sz w:val="36"/>
          <w:szCs w:val="36"/>
          <w:highlight w:val="none"/>
        </w:rPr>
        <w:br w:type="page" w:clear="all"/>
      </w:r>
      <w:r/>
    </w:p>
    <w:p>
      <w:pPr>
        <w:pStyle w:val="1086"/>
        <w:numPr>
          <w:ilvl w:val="0"/>
          <w:numId w:val="8"/>
        </w:numPr>
        <w:ind w:firstLine="0"/>
        <w:jc w:val="center"/>
        <w:keepLines w:val="0"/>
        <w:keepNext w:val="0"/>
        <w:pageBreakBefore w:val="0"/>
        <w:spacing w:line="360" w:lineRule="auto"/>
        <w:widowControl w:val="off"/>
        <w:rPr>
          <w:rFonts w:ascii="宋体" w:hAnsi="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 合同文本</w:t>
      </w:r>
      <w:bookmarkEnd w:id="134"/>
      <w:bookmarkEnd w:id="135"/>
      <w:bookmarkEnd w:id="136"/>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bookmarkStart w:id="137" w:name="_Hlt16619350"/>
      <w:r/>
      <w:bookmarkStart w:id="138" w:name="_Toc120614244"/>
      <w:r/>
      <w:bookmarkStart w:id="139" w:name="_Toc20823346"/>
      <w:r/>
      <w:bookmarkStart w:id="140" w:name="_Toc16938590"/>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采购编号：</w:t>
      </w:r>
      <w:r>
        <w:rPr>
          <w:rFonts w:hint="eastAsia" w:ascii="宋体" w:hAnsi="宋体" w:cs="宋体"/>
          <w:bCs/>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采购内容：</w:t>
      </w:r>
      <w:r>
        <w:rPr>
          <w:rFonts w:hint="eastAsia" w:ascii="宋体" w:hAnsi="宋体" w:cs="宋体"/>
          <w:bCs/>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中药饮片</w:t>
      </w:r>
      <w:r>
        <w:rPr>
          <w:rFonts w:hint="eastAsia" w:ascii="宋体" w:hAnsi="宋体" w:eastAsia="宋体" w:cs="宋体"/>
          <w:color w:val="auto"/>
          <w:sz w:val="24"/>
          <w:szCs w:val="24"/>
          <w:highlight w:val="none"/>
        </w:rPr>
        <w:t xml:space="preserve">中标</w:t>
      </w:r>
      <w:r>
        <w:rPr>
          <w:rFonts w:hint="eastAsia"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 </w:t>
      </w:r>
      <w:r>
        <w:rPr>
          <w:rFonts w:hint="eastAsia" w:hAnsi="宋体" w:eastAsia="宋体" w:cs="宋体"/>
          <w:color w:val="auto"/>
          <w:sz w:val="24"/>
          <w:szCs w:val="24"/>
          <w:highlight w:val="none"/>
          <w:u w:val="none"/>
          <w:lang w:val="en-US" w:eastAsia="zh-CN"/>
        </w:rPr>
        <w:t xml:space="preserve">；中药临方加工（煎汤）每贴 </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元，中药临方加工（熬膏）每料</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元（含黄酒、容器、冰糖），中药临方加工（磨粉）按照每斤</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元收取（以500g为收费起点，不足500g按500g收费；每超过100g加收1.5元，不足100g按100g收费），中药临方加工（制丸）按照每斤</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元（以500g为收费起点，不足500g按500g收费；每超过100g加收5元，不足100g按100g收费）收取，阿胶膏加工按照每斤</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元收取（以阿胶500g为收费起点，不足500g按500g收费；每超过100g加收20元，不足100g按100g收费）</w:t>
      </w:r>
      <w:r>
        <w:rPr>
          <w:rFonts w:hint="eastAsia" w:ascii="宋体" w:hAnsi="宋体" w:eastAsia="宋体" w:cs="宋体"/>
          <w:b w:val="0"/>
          <w:bCs w:val="0"/>
          <w:color w:val="auto"/>
          <w:sz w:val="24"/>
          <w:szCs w:val="24"/>
          <w:highlight w:val="none"/>
          <w:lang w:val="en-US" w:eastAsia="zh-CN"/>
        </w:rPr>
        <w:t xml:space="preserve">。</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质量和服务要求及验收标准：</w:t>
      </w:r>
      <w:r>
        <w:rPr>
          <w:rFonts w:hint="eastAsia" w:ascii="宋体" w:hAnsi="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服务期或完工期：</w:t>
      </w:r>
      <w:r>
        <w:rPr>
          <w:rFonts w:hint="eastAsia" w:ascii="宋体" w:hAnsi="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服务地点和方式：</w:t>
      </w:r>
      <w:r>
        <w:rPr>
          <w:rFonts w:hint="eastAsia" w:ascii="宋体" w:hAnsi="宋体" w:cs="宋体"/>
          <w:bCs/>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费用支付步骤和办法：</w:t>
      </w:r>
      <w:r>
        <w:rPr>
          <w:rFonts w:hint="eastAsia" w:ascii="宋体" w:hAnsi="宋体" w:cs="宋体"/>
          <w:bCs/>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售后服务：</w:t>
      </w:r>
      <w:r>
        <w:rPr>
          <w:rFonts w:hint="eastAsia" w:ascii="宋体" w:hAnsi="宋体" w:cs="宋体"/>
          <w:bCs/>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违约责任：</w:t>
      </w:r>
      <w:r>
        <w:rPr>
          <w:rFonts w:hint="eastAsia" w:ascii="宋体" w:hAnsi="宋体" w:cs="宋体"/>
          <w:bCs/>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解决争议的方式：</w:t>
      </w:r>
      <w:r>
        <w:rPr>
          <w:rFonts w:hint="eastAsia" w:ascii="宋体" w:hAnsi="宋体" w:cs="宋体"/>
          <w:color w:val="auto"/>
          <w:sz w:val="24"/>
          <w:szCs w:val="24"/>
          <w:highlight w:val="none"/>
          <w:u w:val="single"/>
        </w:rPr>
        <w:t xml:space="preserve">                              </w:t>
      </w:r>
      <w:r/>
    </w:p>
    <w:p>
      <w:pPr>
        <w:numPr>
          <w:ilvl w:val="0"/>
          <w:numId w:val="9"/>
        </w:numPr>
        <w:ind w:left="0" w:firstLine="523"/>
        <w:keepLines w:val="0"/>
        <w:keepNext w:val="0"/>
        <w:pageBreakBefore w:val="0"/>
        <w:spacing w:line="360" w:lineRule="auto"/>
        <w:widowControl w:val="off"/>
        <w:tabs>
          <w:tab w:val="left" w:pos="210" w:leader="none"/>
          <w:tab w:val="clear" w:pos="45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事项：</w:t>
      </w:r>
      <w:r>
        <w:rPr>
          <w:rFonts w:hint="eastAsia" w:ascii="宋体" w:hAnsi="宋体" w:cs="宋体"/>
          <w:bCs/>
          <w:color w:val="auto"/>
          <w:sz w:val="24"/>
          <w:szCs w:val="24"/>
          <w:highlight w:val="none"/>
          <w:u w:val="single"/>
        </w:rPr>
        <w:t xml:space="preserve">                                    </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合同不可分割部分：</w:t>
      </w:r>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采购文件、投标文件、合同条款及中标通知书，乙方在投标、评标过程中所作其它有关承诺、声明、书面澄清等均为合同不可分割的部分，与主合同具有同等法律效力。</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rPr>
        <w:t xml:space="preserve">合同备案：</w:t>
      </w:r>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合同一式</w:t>
      </w:r>
      <w:r>
        <w:rPr>
          <w:rFonts w:hint="eastAsia"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份，甲乙双方各执</w:t>
      </w:r>
      <w:r>
        <w:rPr>
          <w:rFonts w:hint="eastAsia"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份，采购代理机构</w:t>
      </w:r>
      <w:r>
        <w:rPr>
          <w:rFonts w:hint="eastAsia"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份。</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十四、</w:t>
      </w:r>
      <w:r>
        <w:rPr>
          <w:rFonts w:hint="eastAsia" w:ascii="宋体" w:hAnsi="宋体" w:eastAsia="宋体" w:cs="宋体"/>
          <w:color w:val="auto"/>
          <w:sz w:val="24"/>
          <w:szCs w:val="24"/>
          <w:highlight w:val="none"/>
        </w:rPr>
        <w:t xml:space="preserve">合同生效：</w:t>
      </w:r>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本合同由甲乙双方签字、盖章后生效。</w:t>
      </w:r>
      <w:r/>
    </w:p>
    <w:tbl>
      <w:tblPr>
        <w:tblStyle w:val="76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17"/>
        <w:gridCol w:w="4571"/>
      </w:tblGrid>
      <w:tr>
        <w:trPr/>
        <w:tc>
          <w:tcPr>
            <w:tcW w:w="4717" w:type="dxa"/>
            <w:textDirection w:val="lrTb"/>
            <w:noWrap w:val="false"/>
          </w:tcPr>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甲方（采购人）：（盖章） </w:t>
            </w:r>
            <w:r/>
          </w:p>
        </w:tc>
        <w:tc>
          <w:tcPr>
            <w:tcW w:w="4571" w:type="dxa"/>
            <w:textDirection w:val="lrTb"/>
            <w:noWrap w:val="false"/>
          </w:tcPr>
          <w:p>
            <w:pPr>
              <w:pStyle w:val="760"/>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乙方（中标方）：（盖章）</w:t>
            </w:r>
            <w:r/>
          </w:p>
        </w:tc>
      </w:tr>
      <w:tr>
        <w:trPr/>
        <w:tc>
          <w:tcPr>
            <w:tcW w:w="4717" w:type="dxa"/>
            <w:textDirection w:val="lrTb"/>
            <w:noWrap w:val="false"/>
          </w:tcPr>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p>
        </w:tc>
        <w:tc>
          <w:tcPr>
            <w:tcW w:w="4571" w:type="dxa"/>
            <w:textDirection w:val="lrTb"/>
            <w:noWrap w:val="false"/>
          </w:tcPr>
          <w:p>
            <w:pPr>
              <w:pStyle w:val="760"/>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p>
          <w:p>
            <w:pPr>
              <w:pStyle w:val="760"/>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p>
        </w:tc>
      </w:tr>
      <w:tr>
        <w:trPr/>
        <w:tc>
          <w:tcPr>
            <w:tcW w:w="4717" w:type="dxa"/>
            <w:textDirection w:val="lrTb"/>
            <w:noWrap w:val="false"/>
          </w:tcPr>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年      月       日 </w:t>
            </w:r>
            <w:r/>
          </w:p>
        </w:tc>
        <w:tc>
          <w:tcPr>
            <w:tcW w:w="4571" w:type="dxa"/>
            <w:textDirection w:val="lrTb"/>
            <w:noWrap w:val="false"/>
          </w:tcPr>
          <w:p>
            <w:pPr>
              <w:pStyle w:val="760"/>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年      月       日 </w:t>
            </w:r>
            <w:r/>
          </w:p>
        </w:tc>
      </w:tr>
      <w:tr>
        <w:trPr/>
        <w:tc>
          <w:tcPr>
            <w:tcW w:w="4717" w:type="dxa"/>
            <w:textDirection w:val="lrTb"/>
            <w:noWrap w:val="false"/>
          </w:tcPr>
          <w:p>
            <w:pPr>
              <w:pStyle w:val="760"/>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71" w:type="dxa"/>
            <w:textDirection w:val="lrTb"/>
            <w:noWrap w:val="false"/>
          </w:tcPr>
          <w:p>
            <w:pPr>
              <w:pStyle w:val="760"/>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乙方户名：                       </w:t>
            </w:r>
            <w:r/>
          </w:p>
          <w:p>
            <w:pPr>
              <w:pStyle w:val="760"/>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乙方开户银行：</w:t>
            </w:r>
            <w:r/>
          </w:p>
        </w:tc>
      </w:tr>
      <w:tr>
        <w:trPr/>
        <w:tc>
          <w:tcPr>
            <w:tcW w:w="4717" w:type="dxa"/>
            <w:textDirection w:val="lrTb"/>
            <w:noWrap w:val="false"/>
          </w:tcPr>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4571" w:type="dxa"/>
            <w:textDirection w:val="lrTb"/>
            <w:noWrap w:val="false"/>
          </w:tcPr>
          <w:p>
            <w:pPr>
              <w:pStyle w:val="760"/>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乙方账号：</w:t>
            </w:r>
            <w:r/>
          </w:p>
        </w:tc>
      </w:tr>
    </w:tbl>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★备注：甲乙双方必须以本格式文本，按照合同条款拟订合同</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760"/>
        <w:ind w:firstLine="480"/>
        <w:jc w:val="center"/>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合同条款</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合作内容：</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u w:val="single"/>
        </w:rPr>
        <w:t xml:space="preserve">中药饮片、集中代加工及配送服务</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2.乙方配送地点：提供免费配送至甲方</w:t>
      </w:r>
      <w:r>
        <w:rPr>
          <w:rFonts w:hint="eastAsia" w:ascii="宋体" w:hAnsi="宋体" w:eastAsia="宋体" w:cs="宋体"/>
          <w:color w:val="auto"/>
          <w:sz w:val="24"/>
          <w:szCs w:val="24"/>
          <w:highlight w:val="none"/>
          <w:lang w:val="en-US" w:eastAsia="zh-CN"/>
        </w:rPr>
        <w:t xml:space="preserve">指定地点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配送过程应注意患者个人信息安全（需要快递至患者家中的，配送费由患者承担）。</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3.配送时间：</w:t>
      </w:r>
      <w:r>
        <w:rPr>
          <w:rFonts w:hint="eastAsia" w:hAnsi="宋体" w:eastAsia="宋体" w:cs="宋体"/>
          <w:color w:val="auto"/>
          <w:sz w:val="24"/>
          <w:szCs w:val="24"/>
          <w:highlight w:val="none"/>
          <w:lang w:val="en-US" w:eastAsia="zh-CN"/>
        </w:rPr>
        <w:t xml:space="preserve">除法定节假日，</w:t>
      </w:r>
      <w:r>
        <w:rPr>
          <w:rFonts w:hint="eastAsia" w:ascii="宋体" w:hAnsi="宋体" w:eastAsia="宋体" w:cs="宋体"/>
          <w:color w:val="auto"/>
          <w:sz w:val="24"/>
          <w:szCs w:val="24"/>
          <w:highlight w:val="none"/>
        </w:rPr>
        <w:t xml:space="preserve">收方时间在当天17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00之前的处方送货时间为收方后第</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天1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点前，当天17:00之后的处方送货时间为收方后第三天15点前，加工方式为磨粉的，送货时间为收方后第三天15点前，加工方式为制丸的，送货时间为收方后10天，加工方式为膏方的，送货时间为收方后7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10天，如遇加工量超出正常范围的，可临时协商送货时间。如遇到缺少药物的情况应及时通过甲方向开方医生沟通是否需要调换药物，乙方发货后当天内将配送信息发送给甲方。</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4.服务响应：乙方在接到甲方应急需求对接通知后，到达甲方处时间不得超过</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个小时，乙方接到甲方应急送货需求，到货时间不得超过</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个小时。</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服务期限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本协议服务期限为</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年，即自合同生效之日起计算</w:t>
      </w:r>
      <w:r>
        <w:rPr>
          <w:rFonts w:hint="eastAsia" w:ascii="宋体" w:hAnsi="宋体" w:eastAsia="宋体" w:cs="宋体"/>
          <w:color w:val="auto"/>
          <w:sz w:val="24"/>
          <w:szCs w:val="24"/>
          <w:highlight w:val="none"/>
          <w:shd w:val="clear" w:color="auto" w:fill="ffffff"/>
          <w:lang w:val="en-US" w:eastAsia="zh-CN"/>
        </w:rPr>
        <w:t xml:space="preserve">（合同一年一签）一年期满，采购人视考核及评价结果决定是否续签。</w:t>
      </w:r>
      <w:r>
        <w:rPr>
          <w:rFonts w:hint="eastAsia" w:ascii="宋体" w:hAnsi="宋体" w:eastAsia="宋体" w:cs="宋体"/>
          <w:color w:val="auto"/>
          <w:sz w:val="24"/>
          <w:highlight w:val="none"/>
        </w:rPr>
        <w:t xml:space="preserve">若发生产品质量</w:t>
      </w:r>
      <w:r>
        <w:rPr>
          <w:rFonts w:hint="eastAsia" w:ascii="宋体" w:hAnsi="宋体" w:eastAsia="宋体" w:cs="宋体"/>
          <w:color w:val="auto"/>
          <w:sz w:val="24"/>
          <w:highlight w:val="none"/>
          <w:lang w:eastAsia="zh-CN"/>
        </w:rPr>
        <w:t xml:space="preserve">或其他</w:t>
      </w:r>
      <w:r>
        <w:rPr>
          <w:rFonts w:hint="eastAsia" w:ascii="宋体" w:hAnsi="宋体" w:eastAsia="宋体" w:cs="宋体"/>
          <w:color w:val="auto"/>
          <w:sz w:val="24"/>
          <w:highlight w:val="none"/>
        </w:rPr>
        <w:t xml:space="preserve">问题导致不良后果的</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可随时终止合同</w:t>
      </w:r>
      <w:r>
        <w:rPr>
          <w:rFonts w:hint="eastAsia" w:ascii="宋体" w:hAnsi="宋体" w:eastAsia="宋体" w:cs="宋体"/>
          <w:color w:val="auto"/>
          <w:sz w:val="24"/>
          <w:szCs w:val="24"/>
          <w:highlight w:val="none"/>
        </w:rPr>
        <w:t xml:space="preserve">。</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二、价款及结算：</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中药饮片结算价款</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中药饮片</w:t>
      </w:r>
      <w:r>
        <w:rPr>
          <w:rFonts w:hint="eastAsia" w:ascii="宋体" w:hAnsi="宋体" w:eastAsia="宋体" w:cs="宋体"/>
          <w:color w:val="auto"/>
          <w:sz w:val="24"/>
          <w:szCs w:val="24"/>
          <w:highlight w:val="none"/>
        </w:rPr>
        <w:t xml:space="preserve">中标</w:t>
      </w:r>
      <w:r>
        <w:rPr>
          <w:rFonts w:hint="eastAsia" w:hAnsi="宋体" w:eastAsia="宋体" w:cs="宋体"/>
          <w:color w:val="auto"/>
          <w:sz w:val="24"/>
          <w:szCs w:val="24"/>
          <w:highlight w:val="none"/>
          <w:lang w:val="en-US" w:eastAsia="zh-CN"/>
        </w:rPr>
        <w:t xml:space="preserve">优惠率为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甲方需支付给乙方的中药饮片</w:t>
      </w:r>
      <w:r>
        <w:rPr>
          <w:rFonts w:hint="eastAsia" w:hAnsi="宋体" w:eastAsia="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按照分项价格计算，分项价格见合同附件。</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乙方药品代煎服务费标准为</w:t>
      </w:r>
      <w:r>
        <w:rPr>
          <w:rFonts w:hint="eastAsia" w:hAnsi="宋体" w:eastAsia="宋体" w:cs="宋体"/>
          <w:color w:val="auto"/>
          <w:sz w:val="24"/>
          <w:szCs w:val="24"/>
          <w:highlight w:val="none"/>
          <w:u w:val="none"/>
          <w:lang w:val="en-US" w:eastAsia="zh-CN"/>
        </w:rPr>
        <w:t xml:space="preserve">中药临方加工（煎汤）每贴 </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元，中药临方加工（熬膏）每料</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元（含黄酒、容器、冰糖），中药临方加工（磨粉）按照每斤</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元收取（以500g为收费起点，不足500g按500g收费；每超过100g加收1.5元，不足100g按100g收费），中药临方加工（制丸）按照每斤</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元（以500g为收费起点，不足500g按500g收费；每超过100g加收5元，不足100g按100g收费）收取，阿胶膏加工按照每斤</w:t>
      </w:r>
      <w:r>
        <w:rPr>
          <w:rFonts w:hint="eastAsia" w:ascii="宋体"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none"/>
          <w:lang w:val="en-US" w:eastAsia="zh-CN"/>
        </w:rPr>
        <w:t xml:space="preserve">元收取（以阿胶500g为收费起点，不足500g按500g收费；每超过100g加收20元，不足100g按100g收费）</w:t>
      </w:r>
      <w:r>
        <w:rPr>
          <w:rFonts w:hint="eastAsia" w:ascii="宋体" w:hAnsi="宋体" w:eastAsia="宋体" w:cs="宋体"/>
          <w:color w:val="auto"/>
          <w:sz w:val="24"/>
          <w:szCs w:val="24"/>
          <w:highlight w:val="none"/>
        </w:rPr>
        <w:t xml:space="preserve">。</w:t>
      </w:r>
      <w:r/>
    </w:p>
    <w:p>
      <w:pPr>
        <w:pStyle w:val="76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甲、乙双方于每月的5号就上月发生的销售额及服务费对账一次，乙方按对账一致后的金额开具药品销售及服务类正式发票交付甲方，甲方收到发票后根据</w:t>
      </w:r>
      <w:r>
        <w:rPr>
          <w:rFonts w:hint="eastAsia" w:ascii="宋体"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rPr>
        <w:t xml:space="preserve">账期向乙方付款。</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乙方指定的银行账户信息：</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户名：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三、保密要求</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1.由甲、乙双方收集的、整理的、复制的、研究的和准备的与本合同项下工作有关的所有资料均被视为保密的，不得</w:t>
      </w:r>
      <w:r>
        <w:rPr>
          <w:rFonts w:hint="eastAsia" w:hAnsi="宋体" w:eastAsia="宋体" w:cs="宋体"/>
          <w:color w:val="auto"/>
          <w:sz w:val="24"/>
          <w:szCs w:val="24"/>
          <w:highlight w:val="none"/>
          <w:lang w:eastAsia="zh-CN"/>
        </w:rPr>
        <w:t xml:space="preserve">泄露</w:t>
      </w:r>
      <w:r>
        <w:rPr>
          <w:rFonts w:hint="eastAsia" w:ascii="宋体" w:hAnsi="宋体" w:eastAsia="宋体" w:cs="宋体"/>
          <w:color w:val="auto"/>
          <w:sz w:val="24"/>
          <w:szCs w:val="24"/>
          <w:highlight w:val="none"/>
        </w:rPr>
        <w:t xml:space="preserve">给甲、乙双方或其指定的代表之外的任何人，不管本合同因何种原因终止，本条款一直约束甲、乙双方。</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2.乙方在履行合同过程中所获得或接触到的任何内部数据资料（包含患者的处方等个人信息），未经甲方同意，不得向第三方透露。</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3.乙方实施项目的一切程序都应符合国家安全、保密的有关规定和标准。</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四、甲方权利与义务</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（一）甲方权利：</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1.有权向乙方询问工作进展情况及相关的内容。</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2.有权阐述对具体问题的意见和建议。</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3.当甲方认定乙方人员不按合同履行其职责，或与第三人串通给甲方造成经济损失的，甲方有权要求更换人员，直至终止合同并要求乙方承担相应的赔偿责任。</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4.在合同期内，若不能达到要求，经书面通知整改的达到3次，甲方可单方面终止合同。</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cs="Times New Roman"/>
          <w:color w:val="auto"/>
          <w:sz w:val="24"/>
          <w:szCs w:val="24"/>
          <w:highlight w:val="none"/>
          <w:lang w:val="en-US" w:eastAsia="zh-CN"/>
        </w:rPr>
        <w:t xml:space="preserve">每月随机抽取中药饮片20种（不限于），中标人在规定时限内提供制药企业生产部门的质量检测报告。采购人每半年</w:t>
      </w:r>
      <w:r>
        <w:rPr>
          <w:rFonts w:hint="eastAsia" w:ascii="宋体" w:hAnsi="宋体" w:eastAsia="宋体" w:cs="Times New Roman"/>
          <w:color w:val="auto"/>
          <w:sz w:val="24"/>
          <w:szCs w:val="24"/>
          <w:highlight w:val="none"/>
          <w:lang w:val="en-US" w:eastAsia="zh-CN"/>
        </w:rPr>
        <w:t xml:space="preserve">组建中药饮片质量联合监督组，</w:t>
      </w:r>
      <w:r>
        <w:rPr>
          <w:rFonts w:hint="eastAsia" w:ascii="宋体" w:hAnsi="宋体" w:cs="Times New Roman"/>
          <w:color w:val="auto"/>
          <w:sz w:val="24"/>
          <w:szCs w:val="24"/>
          <w:highlight w:val="none"/>
          <w:lang w:val="en-US" w:eastAsia="zh-CN"/>
        </w:rPr>
        <w:t xml:space="preserve">对</w:t>
      </w:r>
      <w:r>
        <w:rPr>
          <w:rFonts w:hint="eastAsia" w:ascii="宋体" w:hAnsi="宋体" w:eastAsia="宋体" w:cs="Times New Roman"/>
          <w:color w:val="auto"/>
          <w:sz w:val="24"/>
          <w:szCs w:val="24"/>
          <w:highlight w:val="none"/>
          <w:lang w:val="en-US" w:eastAsia="zh-CN"/>
        </w:rPr>
        <w:t xml:space="preserve">中标供应商代煎现场，进行全面质量检查，</w:t>
      </w:r>
      <w:r>
        <w:rPr>
          <w:rFonts w:hint="eastAsia" w:ascii="宋体" w:hAnsi="宋体" w:cs="Times New Roman"/>
          <w:color w:val="auto"/>
          <w:sz w:val="24"/>
          <w:szCs w:val="24"/>
          <w:highlight w:val="none"/>
          <w:lang w:val="en-US" w:eastAsia="zh-CN"/>
        </w:rPr>
        <w:t xml:space="preserve">以及</w:t>
      </w:r>
      <w:r>
        <w:rPr>
          <w:rFonts w:hint="eastAsia" w:ascii="宋体" w:hAnsi="宋体" w:eastAsia="宋体" w:cs="Times New Roman"/>
          <w:color w:val="auto"/>
          <w:sz w:val="24"/>
          <w:szCs w:val="24"/>
          <w:highlight w:val="none"/>
          <w:lang w:val="en-US" w:eastAsia="zh-CN"/>
        </w:rPr>
        <w:t xml:space="preserve">不定期对</w:t>
      </w:r>
      <w:r>
        <w:rPr>
          <w:rFonts w:hint="eastAsia" w:ascii="宋体" w:hAnsi="宋体" w:cs="Times New Roman"/>
          <w:color w:val="auto"/>
          <w:sz w:val="24"/>
          <w:szCs w:val="24"/>
          <w:highlight w:val="none"/>
          <w:lang w:val="en-US" w:eastAsia="zh-CN"/>
        </w:rPr>
        <w:t xml:space="preserve">其</w:t>
      </w:r>
      <w:r>
        <w:rPr>
          <w:rFonts w:hint="eastAsia" w:ascii="宋体" w:hAnsi="宋体" w:eastAsia="宋体" w:cs="Times New Roman"/>
          <w:color w:val="auto"/>
          <w:sz w:val="24"/>
          <w:szCs w:val="24"/>
          <w:highlight w:val="none"/>
          <w:lang w:val="en-US" w:eastAsia="zh-CN"/>
        </w:rPr>
        <w:t xml:space="preserve">进行飞检，</w:t>
      </w:r>
      <w:r>
        <w:rPr>
          <w:rFonts w:hint="eastAsia" w:ascii="宋体" w:hAnsi="宋体" w:eastAsia="宋体" w:cs="宋体"/>
          <w:color w:val="auto"/>
          <w:sz w:val="24"/>
          <w:szCs w:val="24"/>
          <w:highlight w:val="none"/>
          <w:lang w:val="en-US" w:eastAsia="zh-CN"/>
        </w:rPr>
        <w:t xml:space="preserve">对质量不符合现行版《中华人民共和国药典》《中华人民共和国药典临床用药须知（中药饮片卷）》《江苏省中药饮片炮制规范》等要求的</w:t>
      </w:r>
      <w:r>
        <w:rPr>
          <w:rFonts w:hint="eastAsia" w:ascii="宋体" w:hAnsi="宋体" w:eastAsia="宋体" w:cs="Times New Roman"/>
          <w:color w:val="auto"/>
          <w:sz w:val="24"/>
          <w:szCs w:val="24"/>
          <w:highlight w:val="none"/>
          <w:lang w:val="en-US" w:eastAsia="zh-CN"/>
        </w:rPr>
        <w:t xml:space="preserve">，可以进行退货处理</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不合格次数一年累计满3次，院方可随时终止合同。</w:t>
      </w:r>
      <w:r/>
    </w:p>
    <w:p>
      <w:pPr>
        <w:pStyle w:val="760"/>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6.如甲方有需要其他不在此次清单内的中药饮片，则按同等级</w:t>
      </w:r>
      <w:r>
        <w:rPr>
          <w:rFonts w:hint="eastAsia" w:ascii="宋体" w:hAnsi="宋体" w:cs="宋体"/>
          <w:color w:val="auto"/>
          <w:sz w:val="24"/>
          <w:szCs w:val="24"/>
          <w:highlight w:val="none"/>
          <w:lang w:val="en-US" w:eastAsia="zh-CN"/>
        </w:rPr>
        <w:t xml:space="preserve">社区卫生服务中心</w:t>
      </w:r>
      <w:r>
        <w:rPr>
          <w:rFonts w:hint="eastAsia" w:ascii="宋体" w:hAnsi="宋体" w:eastAsia="宋体" w:cs="宋体"/>
          <w:color w:val="auto"/>
          <w:sz w:val="24"/>
          <w:szCs w:val="24"/>
          <w:highlight w:val="none"/>
        </w:rPr>
        <w:t xml:space="preserve">供货价</w:t>
      </w:r>
      <w:r>
        <w:rPr>
          <w:rFonts w:hint="eastAsia"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（1-</w:t>
      </w:r>
      <w:r>
        <w:rPr>
          <w:rFonts w:hint="eastAsia" w:hAnsi="宋体" w:eastAsia="宋体" w:cs="宋体"/>
          <w:color w:val="auto"/>
          <w:sz w:val="24"/>
          <w:szCs w:val="24"/>
          <w:highlight w:val="none"/>
          <w:lang w:val="en-US" w:eastAsia="zh-CN"/>
        </w:rPr>
        <w:t xml:space="preserve">中标</w:t>
      </w:r>
      <w:r>
        <w:rPr>
          <w:rFonts w:hint="eastAsia" w:hAnsi="宋体" w:cs="宋体"/>
          <w:color w:val="auto"/>
          <w:sz w:val="24"/>
          <w:szCs w:val="24"/>
          <w:highlight w:val="none"/>
          <w:lang w:val="en-US" w:eastAsia="zh-CN"/>
        </w:rPr>
        <w:t xml:space="preserve">优惠</w:t>
      </w:r>
      <w:r>
        <w:rPr>
          <w:rFonts w:hint="eastAsia" w:hAnsi="宋体" w:eastAsia="宋体" w:cs="宋体"/>
          <w:color w:val="auto"/>
          <w:sz w:val="24"/>
          <w:szCs w:val="24"/>
          <w:highlight w:val="none"/>
          <w:lang w:val="en-US" w:eastAsia="zh-CN"/>
        </w:rPr>
        <w:t xml:space="preserve">率</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进行结算</w:t>
      </w:r>
      <w:r>
        <w:rPr>
          <w:rFonts w:hint="eastAsia" w:hAnsi="宋体" w:eastAsia="宋体" w:cs="宋体"/>
          <w:color w:val="auto"/>
          <w:sz w:val="24"/>
          <w:szCs w:val="24"/>
          <w:highlight w:val="none"/>
          <w:lang w:val="en-US" w:eastAsia="zh-CN"/>
        </w:rPr>
        <w:t xml:space="preserve">或甲乙方协商定价</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服务期内，饮片价格原则上不予调整，若因市场波动极大或政策性原因，个别饮片需调价，必须出具书面说明，甲方同意后双方协商定价。</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（二）甲方义务：</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1.负责与本项目有关的第三方的协调，提供开展服务工作的外部条件。</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2.向乙方提供与本项目有关的资料。</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3.甲方须将需要代送或代煎的药品处方、用户等详细信息按照双方约定的方式实时传送给乙方，以确保业务的正常开展。</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4.及时与乙方进行对账，并按约定及时向乙方支付费用。</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五、乙方权利与义务</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（一）乙方权利：</w:t>
      </w:r>
      <w:r/>
    </w:p>
    <w:p>
      <w:pPr>
        <w:pStyle w:val="760"/>
        <w:ind w:left="479"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1.乙方在本项目服务过程中，如甲方提供的资料不明确时可向甲方提出书面报告。</w:t>
      </w:r>
      <w:r/>
    </w:p>
    <w:p>
      <w:pPr>
        <w:pStyle w:val="760"/>
        <w:ind w:left="479"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（二）乙方义务：</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1.为保证患者的用药安全，乙方需按照药品经营管理的有关规定，对采购的药品开展收货、验收、质检、养护等相关工作，并保证药品在配送过程中的时效性及温湿度环境的可控性，做好药品质量的管理工作。</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2.物流包装箱和包装袋由乙方提供，费用由乙方承担。乙方做好药品包装材质检查、合规及药品包装工作，避免药品配送过程中出现包装破损。如包装破损，不得交付患者。</w:t>
      </w:r>
      <w:r>
        <w:rPr>
          <w:rFonts w:hint="eastAsia" w:ascii="宋体" w:hAnsi="宋体" w:eastAsia="宋体" w:cs="宋体"/>
          <w:color w:val="auto"/>
          <w:sz w:val="24"/>
          <w:szCs w:val="24"/>
          <w:highlight w:val="none"/>
          <w:lang w:val="en-US" w:eastAsia="zh-CN"/>
        </w:rPr>
        <w:t xml:space="preserve">因配送导致包装破损或其他纠纷问题由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负责与快递公司协商解决。</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3.乙方应确保用于代煎服务的中药饮片质量均应符合《中华人民共和国药典</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江苏省中药饮片炮制规范》等标准，且达到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使用中药饮片质量的要求。（详见下表）</w:t>
      </w:r>
      <w:r/>
    </w:p>
    <w:p>
      <w:pPr>
        <w:pStyle w:val="76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中药饮片代煎服务要求</w:t>
      </w:r>
      <w:r/>
    </w:p>
    <w:tbl>
      <w:tblPr>
        <w:tblStyle w:val="735"/>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7263"/>
      </w:tblGrid>
      <w:tr>
        <w:trPr>
          <w:jc w:val="center"/>
        </w:trPr>
        <w:tc>
          <w:tcPr>
            <w:tcW w:w="1671"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场地设施和加工用具</w:t>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具体要求</w:t>
            </w:r>
            <w:r/>
          </w:p>
        </w:tc>
      </w:tr>
      <w:tr>
        <w:trPr>
          <w:jc w:val="center"/>
        </w:trPr>
        <w:tc>
          <w:tcPr>
            <w:tcW w:w="1671" w:type="dxa"/>
            <w:vAlign w:val="top"/>
            <w:vMerge w:val="continue"/>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p>
        </w:tc>
      </w:tr>
      <w:tr>
        <w:trPr>
          <w:jc w:val="center"/>
        </w:trPr>
        <w:tc>
          <w:tcPr>
            <w:tcW w:w="1671" w:type="dxa"/>
            <w:vAlign w:val="top"/>
            <w:vMerge w:val="continue"/>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2.设置中药煎药专用饮片仓库，仓储管理符合GSP的相关要求。</w:t>
            </w:r>
            <w:r/>
          </w:p>
        </w:tc>
      </w:tr>
      <w:tr>
        <w:trPr>
          <w:jc w:val="center"/>
        </w:trPr>
        <w:tc>
          <w:tcPr>
            <w:tcW w:w="1671" w:type="dxa"/>
            <w:vAlign w:val="top"/>
            <w:vMerge w:val="continue"/>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3.加强煎药设备的维护养护和分类管理，设备有明显状态标识。</w:t>
            </w:r>
            <w:r/>
          </w:p>
        </w:tc>
      </w:tr>
      <w:tr>
        <w:trPr>
          <w:jc w:val="center"/>
        </w:trPr>
        <w:tc>
          <w:tcPr>
            <w:tcW w:w="1671" w:type="dxa"/>
            <w:vAlign w:val="top"/>
            <w:vMerge w:val="continue"/>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4.煎药场所应定期消毒</w:t>
            </w:r>
            <w:r/>
          </w:p>
        </w:tc>
      </w:tr>
      <w:tr>
        <w:trPr>
          <w:jc w:val="center"/>
          <w:trHeight w:val="488"/>
        </w:trPr>
        <w:tc>
          <w:tcPr>
            <w:tcW w:w="1671"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岗位人员要求</w:t>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1.煎药部门负责人应具有</w:t>
            </w: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p>
        </w:tc>
      </w:tr>
      <w:tr>
        <w:trPr>
          <w:jc w:val="center"/>
        </w:trPr>
        <w:tc>
          <w:tcPr>
            <w:tcW w:w="1671" w:type="dxa"/>
            <w:vAlign w:val="center"/>
            <w:vMerge w:val="continue"/>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2.从事中药调配、复核与煎药岗位操作人员参照《食品从业人员健康标准》，上岗前及每年进行健康体检，并建立健康档案。</w:t>
            </w:r>
            <w:r/>
          </w:p>
        </w:tc>
      </w:tr>
      <w:tr>
        <w:trPr>
          <w:jc w:val="center"/>
          <w:trHeight w:val="515"/>
        </w:trPr>
        <w:tc>
          <w:tcPr>
            <w:tcW w:w="1671" w:type="dxa"/>
            <w:vAlign w:val="center"/>
            <w:vMerge w:val="restart"/>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代煎调配</w:t>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1.生产企业应使用自产饮片，</w:t>
            </w:r>
            <w:r>
              <w:rPr>
                <w:rFonts w:hint="eastAsia" w:ascii="宋体" w:hAnsi="宋体" w:cs="宋体"/>
                <w:b w:val="0"/>
                <w:bCs w:val="0"/>
                <w:color w:val="auto"/>
                <w:sz w:val="24"/>
                <w:szCs w:val="24"/>
                <w:highlight w:val="none"/>
                <w:lang w:val="en-US" w:eastAsia="zh-CN"/>
              </w:rPr>
              <w:t xml:space="preserve">做好</w:t>
            </w:r>
            <w:r>
              <w:rPr>
                <w:rFonts w:hint="eastAsia" w:ascii="宋体" w:hAnsi="宋体" w:eastAsia="宋体" w:cs="宋体"/>
                <w:b w:val="0"/>
                <w:bCs w:val="0"/>
                <w:color w:val="auto"/>
                <w:sz w:val="24"/>
                <w:szCs w:val="24"/>
                <w:highlight w:val="none"/>
                <w:lang w:val="en-US" w:eastAsia="zh-CN"/>
              </w:rPr>
              <w:t xml:space="preserve">煎药专用饮片仓库进出库记录台账和批号追踪管理。应从具有合法企业资质的企业采购符合“中国药典”及“江苏省中药饮片炮制规范”质量标准的饮片进行调配。</w:t>
            </w:r>
            <w:r/>
          </w:p>
        </w:tc>
      </w:tr>
      <w:tr>
        <w:trPr>
          <w:jc w:val="center"/>
        </w:trPr>
        <w:tc>
          <w:tcPr>
            <w:tcW w:w="1671" w:type="dxa"/>
            <w:vAlign w:val="top"/>
            <w:vMerge w:val="continue"/>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jc w:val="center"/>
        </w:trPr>
        <w:tc>
          <w:tcPr>
            <w:tcW w:w="1671" w:type="dxa"/>
            <w:vAlign w:val="center"/>
            <w:vMerge w:val="restart"/>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技术标准</w:t>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1.中药饮片质量标准：符合现行版《中华人民共和国药典》及《江苏省中药饮片炮制规范》。</w:t>
            </w:r>
            <w:r/>
          </w:p>
        </w:tc>
      </w:tr>
      <w:tr>
        <w:trPr>
          <w:jc w:val="center"/>
        </w:trPr>
        <w:tc>
          <w:tcPr>
            <w:tcW w:w="1671" w:type="dxa"/>
            <w:vAlign w:val="top"/>
            <w:vMerge w:val="continue"/>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2.煎药机煎液包装膜材质：PET/PE耐高温无毒，符合药品包装材料药用复合膜通则规定要求。</w:t>
            </w:r>
            <w:r/>
          </w:p>
        </w:tc>
      </w:tr>
      <w:tr>
        <w:trPr>
          <w:jc w:val="center"/>
        </w:trPr>
        <w:tc>
          <w:tcPr>
            <w:tcW w:w="1671" w:type="dxa"/>
            <w:vAlign w:val="top"/>
            <w:vMerge w:val="continue"/>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ind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3.汤剂质量标准：①药料煎透度：汁浓味厚，色泽均匀，无可见异物；②药液装量：分装均匀，装量差异控制在±5%以内；③药液包装袋封口平整完好，无渗漏，无药汁污染。</w:t>
            </w:r>
            <w:r/>
          </w:p>
        </w:tc>
      </w:tr>
    </w:tbl>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4.乙方确保提供的代煎服务具有以下质量保证体系</w:t>
      </w:r>
      <w:r>
        <w:rPr>
          <w:rFonts w:hint="eastAsia" w:hAnsi="宋体" w:eastAsia="宋体" w:cs="宋体"/>
          <w:color w:val="auto"/>
          <w:sz w:val="24"/>
          <w:szCs w:val="24"/>
          <w:highlight w:val="none"/>
          <w:lang w:eastAsia="zh-CN"/>
        </w:rPr>
        <w:t xml:space="preserve">：</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（1）质量保证管理制度、职责和管理规范；</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（2）有质量的煎药设备，能满足</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煎药数量以及特色煎制的要求；</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（3）有规范的操作记录，建立质量跟踪、追溯、监控体系。</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5.乙方确保代煎药剂有完善的配送管理制度和流程，确保配送及时、准确。</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6.为保证甲方代煎配送服务质量，乙方与甲方建立中药代配代煎信息化平台，其中所需一切费用均由乙方承担，具体如下：</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门诊处方信息传递</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医师开具的电子处方经过</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HIS系统传送到药房系统终端，标识为饮片的处方转入代配代煎系统，经过药师审核、信息录入后传送至代配代煎中心。</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病区医嘱信息传递</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医生为住院患者开立医嘱时，需要明确患者住院用药、出院带药以及药物是否需要代煎服务，相关医嘱转入代配代煎系统，经过药师审核、信息录入后传送至代配代煎中心。</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饮片代加工全过程可远程视频监控，乙方负责在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指定区域布置监控设备，并提供所需软硬件。</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7.乙方供应的中药饮片保证符合国家相关质量标准，如因产品质量</w:t>
      </w:r>
      <w:r>
        <w:rPr>
          <w:rFonts w:hint="eastAsia" w:hAnsi="宋体" w:eastAsia="宋体" w:cs="宋体"/>
          <w:color w:val="auto"/>
          <w:sz w:val="24"/>
          <w:szCs w:val="24"/>
          <w:highlight w:val="none"/>
          <w:lang w:eastAsia="zh-CN"/>
        </w:rPr>
        <w:t xml:space="preserve">或其他</w:t>
      </w:r>
      <w:r>
        <w:rPr>
          <w:rFonts w:hint="eastAsia" w:ascii="宋体" w:hAnsi="宋体" w:eastAsia="宋体" w:cs="宋体"/>
          <w:color w:val="auto"/>
          <w:sz w:val="24"/>
          <w:szCs w:val="24"/>
          <w:highlight w:val="none"/>
        </w:rPr>
        <w:t xml:space="preserve">问题导致不良后果，乙方负责相应的经济及法律责任。</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8.中药代煎及配送服务要求：</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乙方提供中药饮片代煎服务所使用的场地、设备、包装材料、环境卫生和煎药人员资质等符合《医院中药饮片管理规范》《医疗机构中药煎药室管理规范》和《中药煎药机》《中药汤剂包装机》</w:t>
      </w:r>
      <w:r>
        <w:rPr>
          <w:rFonts w:hint="eastAsia" w:ascii="宋体" w:hAnsi="宋体" w:eastAsia="宋体" w:cs="宋体"/>
          <w:b w:val="0"/>
          <w:bCs w:val="0"/>
          <w:color w:val="auto"/>
          <w:sz w:val="24"/>
          <w:szCs w:val="24"/>
          <w:highlight w:val="none"/>
          <w:lang w:val="en-US" w:eastAsia="zh-CN"/>
        </w:rPr>
        <w:t xml:space="preserve">《江苏省中药饮片代煎服务质量管理规范》</w:t>
      </w:r>
      <w:r>
        <w:rPr>
          <w:rFonts w:hint="eastAsia" w:ascii="宋体" w:hAnsi="宋体" w:eastAsia="宋体" w:cs="宋体"/>
          <w:color w:val="auto"/>
          <w:sz w:val="24"/>
          <w:szCs w:val="24"/>
          <w:highlight w:val="none"/>
        </w:rPr>
        <w:t xml:space="preserve">等行业标准。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为了保证代煎中药质量，乙方对每个操作步骤都作出详细规定，并做好记录可供追溯，全程均有监控录像，做到每个操作步骤都有记录存档，有质量跟踪。</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现场环境整洁，不存在废水、废气、废渣等污染问题。</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煎药质量保证</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煎药时长、温度、文武火、先煎后下等煎煮条件由计算机设置，避免人为操作失误，实现煎药过程标准化。</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熬膏辅料齐全，至少包括冰糖、饴糖、木糖醇、蜂蜜、元贞糖，以及核桃肉、黑芝麻。</w:t>
      </w:r>
      <w:r/>
    </w:p>
    <w:p>
      <w:pPr>
        <w:pStyle w:val="760"/>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9.为甲方科室</w:t>
      </w:r>
      <w:r>
        <w:rPr>
          <w:rFonts w:hint="eastAsia"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赋能方案</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u w:val="single"/>
          <w:lang w:val="en-US" w:eastAsia="zh-CN"/>
        </w:rPr>
        <w:t xml:space="preserve">         </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 违约责任</w:t>
      </w:r>
      <w:r/>
    </w:p>
    <w:p>
      <w:pPr>
        <w:pStyle w:val="760"/>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除不可抗力外，如果乙方没有按照本合同约定的服务响应时间、地点和方式履行，每发现一次或接到一次投诉则处违约金100元，累计次数超过10次，甲方有权在要求乙方支付违约金的同时，书面通知乙方解除本合同</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若患者进行饮片质量投诉等，经查核属实质量缺陷或者违规行为，</w:t>
      </w:r>
      <w:r>
        <w:rPr>
          <w:rFonts w:hint="eastAsia" w:ascii="宋体" w:hAnsi="宋体" w:eastAsia="宋体" w:cs="宋体"/>
          <w:color w:val="auto"/>
          <w:sz w:val="24"/>
          <w:szCs w:val="24"/>
          <w:highlight w:val="none"/>
        </w:rPr>
        <w:t xml:space="preserve">则处违约金100元</w:t>
      </w:r>
      <w:r>
        <w:rPr>
          <w:rFonts w:hint="eastAsia" w:hAnsi="宋体" w:eastAsia="宋体" w:cs="宋体"/>
          <w:color w:val="auto"/>
          <w:sz w:val="24"/>
          <w:szCs w:val="24"/>
          <w:highlight w:val="none"/>
          <w:lang w:val="en-US" w:eastAsia="zh-CN"/>
        </w:rPr>
        <w:t xml:space="preserve">且赔偿相应损失，</w:t>
      </w:r>
      <w:r>
        <w:rPr>
          <w:rFonts w:hint="eastAsia" w:ascii="宋体" w:hAnsi="宋体" w:eastAsia="宋体" w:cs="宋体"/>
          <w:color w:val="auto"/>
          <w:sz w:val="24"/>
          <w:szCs w:val="24"/>
          <w:highlight w:val="none"/>
        </w:rPr>
        <w:t xml:space="preserve">累计次数超过10次，甲方有权在要求乙方支付违约金的同时，书面通知乙方解除本合同</w:t>
      </w:r>
      <w:r>
        <w:rPr>
          <w:rFonts w:hint="eastAsia" w:hAnsi="宋体" w:eastAsia="宋体" w:cs="宋体"/>
          <w:color w:val="auto"/>
          <w:sz w:val="24"/>
          <w:szCs w:val="24"/>
          <w:highlight w:val="none"/>
          <w:lang w:val="en-US" w:eastAsia="zh-CN"/>
        </w:rPr>
        <w:t xml:space="preserve">。情节严重者，按相关法律法规追究乙方责任。</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5.如果出现政府采购监督管理部门在处理投诉事项期间，书面通知甲方暂停采购活动的情形，或者询问或质疑事项可能影响中标结果的，导致甲方中止履行合同的情形，均不视为甲方违约。</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6.中药饮片出现混装、与提供信息不相符者，则甲方有权取消乙方的所有中药饮片配送资格。</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7.若发生产品质量</w:t>
      </w:r>
      <w:r>
        <w:rPr>
          <w:rFonts w:hint="eastAsia" w:hAnsi="宋体" w:eastAsia="宋体" w:cs="宋体"/>
          <w:color w:val="auto"/>
          <w:sz w:val="24"/>
          <w:szCs w:val="24"/>
          <w:highlight w:val="none"/>
          <w:lang w:eastAsia="zh-CN"/>
        </w:rPr>
        <w:t xml:space="preserve">或其他</w:t>
      </w:r>
      <w:r>
        <w:rPr>
          <w:rFonts w:hint="eastAsia" w:ascii="宋体" w:hAnsi="宋体" w:eastAsia="宋体" w:cs="宋体"/>
          <w:color w:val="auto"/>
          <w:sz w:val="24"/>
          <w:szCs w:val="24"/>
          <w:highlight w:val="none"/>
        </w:rPr>
        <w:t xml:space="preserve">问题导致不良后果的，甲方可随时终止合同，由乙方全权负责处理纠纷并承担赔偿责任。</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七、合同争议的解决</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本合同履行过程中发生的任何争议，双方当事人均可通过和解或者调解解决；不愿和解、调解或者和解、调解不成的，向甲方所在地人民法院起诉。</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八、合同生效</w:t>
      </w:r>
      <w:r/>
    </w:p>
    <w:p>
      <w:pPr>
        <w:pStyle w:val="760"/>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本合同自双方当事人盖章或者签字</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生效。</w:t>
      </w:r>
      <w:r/>
    </w:p>
    <w:p>
      <w:pPr>
        <w:pStyle w:val="76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无锡市梁溪区扬名街道社区卫生服务中心</w:t>
      </w:r>
      <w:r>
        <w:rPr>
          <w:rFonts w:hint="eastAsia" w:ascii="宋体" w:hAnsi="宋体" w:eastAsia="宋体" w:cs="宋体"/>
          <w:color w:val="auto"/>
          <w:sz w:val="24"/>
          <w:szCs w:val="24"/>
          <w:highlight w:val="none"/>
        </w:rPr>
        <w:t xml:space="preserve">（盖章）   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（盖章）</w:t>
      </w:r>
      <w:r/>
    </w:p>
    <w:p>
      <w:pPr>
        <w:pStyle w:val="76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法定（授权）代表人：</w:t>
      </w:r>
      <w:r/>
    </w:p>
    <w:p>
      <w:pPr>
        <w:pStyle w:val="76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p>
    <w:p>
      <w:pPr>
        <w:ind w:right="119" w:firstLine="720"/>
        <w:spacing w:before="115"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年   月   日                             年   月   日   </w:t>
      </w:r>
      <w:r>
        <w:rPr>
          <w:rFonts w:hint="eastAsia"/>
          <w:color w:val="auto"/>
          <w:highlight w:val="none"/>
        </w:rPr>
        <w:t xml:space="preserve"> </w:t>
      </w:r>
      <w:r/>
    </w:p>
    <w:p>
      <w:pPr>
        <w:pStyle w:val="810"/>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10"/>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10"/>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10"/>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10"/>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810"/>
        <w:ind w:left="267" w:right="369" w:firstLine="464"/>
        <w:jc w:val="left"/>
        <w:tabs>
          <w:tab w:val="left" w:pos="360" w:leader="none"/>
          <w:tab w:val="left" w:pos="7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w:t>
      </w:r>
      <w:r/>
    </w:p>
    <w:tbl>
      <w:tblPr>
        <w:tblStyle w:val="735"/>
        <w:tblW w:w="869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6"/>
        <w:gridCol w:w="1380"/>
        <w:gridCol w:w="876"/>
        <w:gridCol w:w="852"/>
        <w:gridCol w:w="1488"/>
        <w:gridCol w:w="1332"/>
        <w:gridCol w:w="1080"/>
        <w:gridCol w:w="1080"/>
      </w:tblGrid>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包装单位</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剂型</w:t>
            </w:r>
            <w:r/>
          </w:p>
        </w:tc>
        <w:tc>
          <w:tcPr>
            <w:shd w:val="clear" w:color="auto" w:fill="auto"/>
            <w:tcBorders>
              <w:top w:val="single" w:color="000000" w:sz="4" w:space="0"/>
              <w:left w:val="single" w:color="000000" w:sz="4" w:space="0"/>
              <w:right w:val="single" w:color="000000" w:sz="4" w:space="0"/>
            </w:tcBorders>
            <w:tcW w:w="133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价格（元/g、个、对）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备注</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阿胶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八月扎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白残花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白豆蔻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白矾</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6"/>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百合干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焙壁虎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荜茇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扁豆衣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蚕砂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藏青果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草豆蔻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侧柏叶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炒白芥子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炒补骨脂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炒苍术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炒淡豆豉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炒海螵蛸</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炒黄柏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炒麦芽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炒青皮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炒山药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炒薏苡仁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炒泽泻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炒枳壳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炒枳实</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陈棕炭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赤石脂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楮实子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川牛膝</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穿山龙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穿心莲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椿根皮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磁石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醋鳖甲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醋龟甲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醋乌梅</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大蓟草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代代花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丹参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刀豆壳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灯心草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地丁草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地耳草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地枫皮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冬葵子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冬凌草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杜仲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煅磁石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煅代赭石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煅蛤壳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煅珍珠母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煅钟乳石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鹅不食草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番白草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防风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分心木</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粉葛</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枫斗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凤凰衣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佛耳草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佛手片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浮萍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甘草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藁本</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葛花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功劳叶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狗脊</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枸骨叶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谷精草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贯众炭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广地龙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鬼针草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桂枝</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蛤黛散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海浮石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海金沙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蒿本</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合欢皮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黑豆衣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红参片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红豆杉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厚朴花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葫芦巴</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琥珀粉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花生衣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淮小麦</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槐角</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槐米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黄连</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黄芩炭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黄药子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鸡冠花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建曲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焦稻芽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焦麦芽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焦山栀</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接骨木</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金蝉花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金荞麦</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金银花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金樱子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荆芥</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荆芥炭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九节菖蒲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酒炒当归</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酒黄精</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酒乌梢蛇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酒萸肉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桔梗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橘叶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苦丁茶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苦楝皮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苦杏仁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辣蓼</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老鹳草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雷公藤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荔枝核</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连翘</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莲子肉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凌霄花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刘寄奴</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六一散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龙齿</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龙胆草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龙眼肉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芦荟</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鹿衔草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律草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绿豆衣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绿梅花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马勃</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蔓荆子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毛冬青</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密蒙花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蜜瓜蒌皮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绵马贯众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牡丹皮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木蝴蝶（千张纸）</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木馒头</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木通</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木贼</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牛膝</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藕节炭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平地木</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蒲公英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蒲黄炭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荠菜花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千里光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青葙子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清半夏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拳参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人中白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人中黄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肉豆蔻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桑螵蛸</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山豆根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蛇六谷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蛇蜕</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生白术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生稻芽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生地黄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生鸡内金</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生麦芽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生牡蛎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失笑散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石斛</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石决明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石楠叶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石上柏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秫米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水飞蓟</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水牛角</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苏木</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娑罗子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太子参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桃仁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天花粉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天葵子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铁树叶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葶苈子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透骨草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土鳖虫</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望江南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煨诃子肉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喜树果</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夏枯草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仙鹤草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香橼皮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小蓟草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辛夷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玄参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玄明粉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旋覆花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血余炭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寻骨风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鸭跖草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盐杜仲</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盐沙苑子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阳起石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益母草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薏苡仁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银杏叶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油松节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鱼腥草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禹余粮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月季花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珍珠母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制草乌</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制附子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制天南星</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制香附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炙刺猬皮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炙甘草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炙麻黄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肿节风</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重楼</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珠子参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紫贝齿</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紫石英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阿胶珠</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西洋参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熊胆粉</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煅青礞石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人工牛黄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鹿血晶</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艾条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大蓟炭</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煅花蕊石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海桐皮</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寒水石</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白槿花</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枳椇子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大枫子</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生麻黄</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480"/>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lang w:val="en-US" w:eastAsia="zh-CN"/>
        </w:rPr>
      </w:pPr>
      <w:r/>
      <w:bookmarkStart w:id="141" w:name="_Toc26554093"/>
      <w:r/>
      <w:bookmarkStart w:id="142" w:name="_Toc49090575"/>
      <w:r/>
      <w:bookmarkStart w:id="143" w:name="_Toc120614281"/>
      <w:r>
        <w:rPr>
          <w:rFonts w:hint="eastAsia" w:ascii="宋体" w:hAnsi="宋体" w:eastAsia="宋体" w:cs="宋体"/>
          <w:b/>
          <w:color w:val="auto"/>
          <w:sz w:val="30"/>
          <w:szCs w:val="30"/>
          <w:highlight w:val="none"/>
          <w:lang w:val="en-US" w:eastAsia="zh-CN"/>
        </w:rPr>
        <w:t xml:space="preserve">第一部分  项目需求</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一、项目简介：</w:t>
      </w:r>
      <w:r>
        <w:rPr>
          <w:rFonts w:hint="eastAsia" w:ascii="宋体" w:hAnsi="宋体" w:eastAsia="宋体" w:cs="宋体"/>
          <w:b w:val="0"/>
          <w:bCs/>
          <w:color w:val="auto"/>
          <w:sz w:val="24"/>
          <w:szCs w:val="24"/>
          <w:highlight w:val="none"/>
          <w:lang w:val="en-US" w:eastAsia="zh-CN" w:bidi="ar-SA"/>
        </w:rPr>
        <w:t xml:space="preserve">为规范中药饮片采购渠道，统一质量标准，保障中药饮片质量和供给，促进中医药事业发展，结合国家相关政策，拟采购中药饮片、集中代加工及配送服务。中药饮片、集中代加工及配送服务，需提供所需合格的中药饮片，且利用信息技术优势和规模生产优势，为采购人提供代配、代煎、熬膏等中药代加工服务，并将配好的药方或汤剂、膏剂、丸剂等代加工后的成品配送到采购人或患者手中。</w:t>
      </w:r>
      <w:r/>
    </w:p>
    <w:p>
      <w:pPr>
        <w:numPr>
          <w:ilvl w:val="0"/>
          <w:numId w:val="10"/>
        </w:num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服务期限：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2年</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（合同一年一签）一年期满，采购人视考核及评价结果决定是否续签。</w:t>
      </w:r>
      <w:r>
        <w:rPr>
          <w:rFonts w:hint="eastAsia" w:ascii="宋体" w:hAnsi="宋体" w:eastAsia="宋体" w:cs="宋体"/>
          <w:color w:val="auto"/>
          <w:sz w:val="24"/>
          <w:highlight w:val="none"/>
        </w:rPr>
        <w:t xml:space="preserve">若发生产品质量</w:t>
      </w:r>
      <w:r>
        <w:rPr>
          <w:rFonts w:hint="eastAsia" w:ascii="宋体" w:hAnsi="宋体" w:eastAsia="宋体" w:cs="宋体"/>
          <w:color w:val="auto"/>
          <w:sz w:val="24"/>
          <w:highlight w:val="none"/>
          <w:lang w:eastAsia="zh-CN"/>
        </w:rPr>
        <w:t xml:space="preserve">或其他</w:t>
      </w:r>
      <w:r>
        <w:rPr>
          <w:rFonts w:hint="eastAsia" w:ascii="宋体" w:hAnsi="宋体" w:eastAsia="宋体" w:cs="宋体"/>
          <w:color w:val="auto"/>
          <w:sz w:val="24"/>
          <w:highlight w:val="none"/>
        </w:rPr>
        <w:t xml:space="preserve">问题导致不良后果的</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可随时终止合同</w:t>
      </w:r>
      <w:r>
        <w:rPr>
          <w:rFonts w:hint="eastAsia" w:ascii="宋体" w:hAnsi="宋体" w:eastAsia="宋体" w:cs="宋体"/>
          <w:color w:val="auto"/>
          <w:sz w:val="24"/>
          <w:highlight w:val="none"/>
          <w:lang w:eastAsia="zh-CN"/>
        </w:rPr>
        <w:t xml:space="preserve">。</w:t>
      </w:r>
      <w:r/>
    </w:p>
    <w:p>
      <w:pPr>
        <w:numPr>
          <w:ilvl w:val="0"/>
          <w:numId w:val="10"/>
        </w:numPr>
        <w:ind w:left="0" w:firstLine="482"/>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服务要求：</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1.中药品种与规格：供应商应确保用于代煎服务的中药饮片质量均应符合《中华人民共和国药典</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江苏省中药饮片炮制规范》等标准，且达到采购人使用中药饮片质量的要求</w:t>
      </w:r>
      <w:r>
        <w:rPr>
          <w:rFonts w:hint="eastAsia" w:ascii="宋体" w:hAnsi="宋体" w:cs="Times New Roman"/>
          <w:color w:val="auto"/>
          <w:sz w:val="24"/>
          <w:szCs w:val="24"/>
          <w:highlight w:val="none"/>
          <w:lang w:val="en-US" w:eastAsia="zh-CN"/>
        </w:rPr>
        <w:t xml:space="preserve">，根</w:t>
      </w:r>
      <w:r>
        <w:rPr>
          <w:rFonts w:hint="eastAsia" w:ascii="宋体" w:hAnsi="宋体" w:eastAsia="宋体" w:cs="Times New Roman"/>
          <w:color w:val="auto"/>
          <w:sz w:val="24"/>
          <w:szCs w:val="24"/>
          <w:highlight w:val="none"/>
          <w:lang w:val="en-US" w:eastAsia="zh-CN"/>
        </w:rPr>
        <w:t xml:space="preserve">据临床需求，确定每种中药的具体规格和包装形式。</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2.投标供应商应确保提供的代煎服务具有质量保证体系</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①制定质量保证管理制度、职责和管理规范；②有保证煎药质量的煎药设备，能满足采购人煎药数量以及特色煎制的要求；③有规范的操作记录，建立留样制度，建立质量跟踪、追溯、监控体系。</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3.代煎药剂配送时间应满足患者用药需要，交付时间不受节假日的影响。制定能够保证汤剂质量与用药安全的配送管理制度和流程，确保配送及时、准确。</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4.为保证中药饮片集中代加工及配送服务质量，中标供应商应与采购人建立中药代</w:t>
      </w:r>
      <w:r>
        <w:rPr>
          <w:rFonts w:hint="eastAsia" w:ascii="宋体" w:hAnsi="宋体" w:cs="Times New Roman"/>
          <w:color w:val="auto"/>
          <w:sz w:val="24"/>
          <w:szCs w:val="24"/>
          <w:highlight w:val="none"/>
          <w:lang w:val="en-US" w:eastAsia="zh-CN"/>
        </w:rPr>
        <w:t xml:space="preserve">配代</w:t>
      </w:r>
      <w:r>
        <w:rPr>
          <w:rFonts w:hint="eastAsia" w:ascii="宋体" w:hAnsi="宋体" w:eastAsia="宋体" w:cs="Times New Roman"/>
          <w:color w:val="auto"/>
          <w:sz w:val="24"/>
          <w:szCs w:val="24"/>
          <w:highlight w:val="none"/>
          <w:lang w:val="en-US" w:eastAsia="zh-CN"/>
        </w:rPr>
        <w:t xml:space="preserve">煎信息化平台，以信息化为主导，信息安全为前提，实现实施过程的闭环管理，其中所需一切费用均由中标供应商承担，具体方案要求如下：</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①门诊处方信息传递</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医师开具的电子处方经过采购人HIS系统传送到药房系统终端，标识为饮片的处方转入代配代煎系统，经过药师审核、信息录入后传送至代配代煎中心。</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②病区医嘱信息传递</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医生为住院患者开立医嘱时，需要明确患者住院用药、出院带药以及药物是否需要代煎服务，相关医嘱转入代配代煎系统，经过药师审核、信息录入后传送至代配代煎中心。</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③饮片代加工全过程可远程视频监控，中标方负责在采购人指定区域布置监控设备，并提供所需软硬件。</w:t>
      </w:r>
      <w:r/>
    </w:p>
    <w:p>
      <w:pPr>
        <w:numPr>
          <w:ilvl w:val="0"/>
          <w:numId w:val="0"/>
        </w:numPr>
        <w:ind w:firstLine="48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5.配送服务要求：</w:t>
      </w:r>
      <w:r>
        <w:rPr>
          <w:rFonts w:hint="eastAsia" w:ascii="宋体" w:hAnsi="宋体" w:cs="Times New Roman"/>
          <w:color w:val="auto"/>
          <w:sz w:val="24"/>
          <w:szCs w:val="24"/>
          <w:highlight w:val="none"/>
          <w:lang w:val="en-US" w:eastAsia="zh-CN"/>
        </w:rPr>
        <w:t xml:space="preserve">除法定节假日，</w:t>
      </w:r>
      <w:r>
        <w:rPr>
          <w:rFonts w:hint="eastAsia" w:ascii="宋体" w:hAnsi="宋体" w:eastAsia="宋体" w:cs="Times New Roman"/>
          <w:color w:val="auto"/>
          <w:sz w:val="24"/>
          <w:szCs w:val="24"/>
          <w:highlight w:val="none"/>
          <w:lang w:val="en-US" w:eastAsia="zh-CN"/>
        </w:rPr>
        <w:t xml:space="preserve">加工方式为临方配药、煎药的，收方时间在当天17:00之前的处方送货时间为收方后</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天1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点前</w:t>
      </w:r>
      <w:r>
        <w:rPr>
          <w:rFonts w:hint="eastAsia" w:ascii="宋体" w:hAnsi="宋体" w:eastAsia="宋体" w:cs="Times New Roman"/>
          <w:color w:val="auto"/>
          <w:sz w:val="24"/>
          <w:szCs w:val="24"/>
          <w:highlight w:val="none"/>
          <w:lang w:val="en-US" w:eastAsia="zh-CN"/>
        </w:rPr>
        <w:t xml:space="preserve">，当天17:00之后的处方送货时间为收方后</w:t>
      </w:r>
      <w:r>
        <w:rPr>
          <w:rFonts w:hint="eastAsia" w:ascii="宋体" w:hAnsi="宋体" w:eastAsia="宋体" w:cs="宋体"/>
          <w:color w:val="auto"/>
          <w:sz w:val="24"/>
          <w:szCs w:val="24"/>
          <w:highlight w:val="none"/>
        </w:rPr>
        <w:t xml:space="preserve">第三天15点前</w:t>
      </w:r>
      <w:r>
        <w:rPr>
          <w:rFonts w:hint="eastAsia" w:ascii="宋体" w:hAnsi="宋体" w:eastAsia="宋体" w:cs="Times New Roman"/>
          <w:color w:val="auto"/>
          <w:sz w:val="24"/>
          <w:szCs w:val="24"/>
          <w:highlight w:val="none"/>
          <w:lang w:val="en-US" w:eastAsia="zh-CN"/>
        </w:rPr>
        <w:t xml:space="preserve">；加工方式为磨粉的，送货时间为收方后</w:t>
      </w:r>
      <w:r>
        <w:rPr>
          <w:rFonts w:hint="eastAsia" w:ascii="宋体" w:hAnsi="宋体" w:eastAsia="宋体" w:cs="宋体"/>
          <w:color w:val="auto"/>
          <w:sz w:val="24"/>
          <w:szCs w:val="24"/>
          <w:highlight w:val="none"/>
        </w:rPr>
        <w:t xml:space="preserve">第三天15点前</w:t>
      </w:r>
      <w:r>
        <w:rPr>
          <w:rFonts w:hint="eastAsia" w:ascii="宋体" w:hAnsi="宋体" w:eastAsia="宋体" w:cs="Times New Roman"/>
          <w:color w:val="auto"/>
          <w:sz w:val="24"/>
          <w:szCs w:val="24"/>
          <w:highlight w:val="none"/>
          <w:lang w:val="en-US" w:eastAsia="zh-CN"/>
        </w:rPr>
        <w:t xml:space="preserve">；加工方式为制丸的，送货时间为收方后10天，加工方式为膏方加工的，送货时间为收方后7～10天。如遇加工量超出正常范围的，</w:t>
      </w:r>
      <w:r>
        <w:rPr>
          <w:rFonts w:hint="eastAsia" w:ascii="宋体" w:hAnsi="宋体" w:eastAsia="宋体" w:cs="宋体"/>
          <w:b w:val="0"/>
          <w:bCs w:val="0"/>
          <w:color w:val="auto"/>
          <w:sz w:val="24"/>
          <w:szCs w:val="24"/>
          <w:highlight w:val="none"/>
          <w:lang w:val="en-US" w:eastAsia="zh-CN"/>
        </w:rPr>
        <w:t xml:space="preserve">可临时协商送货时间。</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6.中标人的中药饮片管理符合《中华人民共和国药品管理法》及《中华人民共和国药品管理法实施条例》《医院中药饮片管理规范》等法律规范的要求，能够接受各级部门及采购人的检查。</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7.采购人</w:t>
      </w:r>
      <w:r>
        <w:rPr>
          <w:rFonts w:hint="eastAsia" w:ascii="宋体" w:hAnsi="宋体" w:cs="Times New Roman"/>
          <w:color w:val="auto"/>
          <w:sz w:val="24"/>
          <w:szCs w:val="24"/>
          <w:highlight w:val="none"/>
          <w:lang w:val="en-US" w:eastAsia="zh-CN"/>
        </w:rPr>
        <w:t xml:space="preserve">每月随机抽取中药饮片20种（不限于），中标人在规定时限内提供制药企业生产部门的质量检测报告。采购人每半年</w:t>
      </w:r>
      <w:r>
        <w:rPr>
          <w:rFonts w:hint="eastAsia" w:ascii="宋体" w:hAnsi="宋体" w:eastAsia="宋体" w:cs="Times New Roman"/>
          <w:color w:val="auto"/>
          <w:sz w:val="24"/>
          <w:szCs w:val="24"/>
          <w:highlight w:val="none"/>
          <w:lang w:val="en-US" w:eastAsia="zh-CN"/>
        </w:rPr>
        <w:t xml:space="preserve">组建中药饮片质量联合监督组，</w:t>
      </w:r>
      <w:r>
        <w:rPr>
          <w:rFonts w:hint="eastAsia" w:ascii="宋体" w:hAnsi="宋体" w:cs="Times New Roman"/>
          <w:color w:val="auto"/>
          <w:sz w:val="24"/>
          <w:szCs w:val="24"/>
          <w:highlight w:val="none"/>
          <w:lang w:val="en-US" w:eastAsia="zh-CN"/>
        </w:rPr>
        <w:t xml:space="preserve">对</w:t>
      </w:r>
      <w:r>
        <w:rPr>
          <w:rFonts w:hint="eastAsia" w:ascii="宋体" w:hAnsi="宋体" w:eastAsia="宋体" w:cs="Times New Roman"/>
          <w:color w:val="auto"/>
          <w:sz w:val="24"/>
          <w:szCs w:val="24"/>
          <w:highlight w:val="none"/>
          <w:lang w:val="en-US" w:eastAsia="zh-CN"/>
        </w:rPr>
        <w:t xml:space="preserve">中标供应商代煎现场，进行全面质量检查，</w:t>
      </w:r>
      <w:r>
        <w:rPr>
          <w:rFonts w:hint="eastAsia" w:ascii="宋体" w:hAnsi="宋体" w:cs="Times New Roman"/>
          <w:color w:val="auto"/>
          <w:sz w:val="24"/>
          <w:szCs w:val="24"/>
          <w:highlight w:val="none"/>
          <w:lang w:val="en-US" w:eastAsia="zh-CN"/>
        </w:rPr>
        <w:t xml:space="preserve">以及</w:t>
      </w:r>
      <w:r>
        <w:rPr>
          <w:rFonts w:hint="eastAsia" w:ascii="宋体" w:hAnsi="宋体" w:eastAsia="宋体" w:cs="Times New Roman"/>
          <w:color w:val="auto"/>
          <w:sz w:val="24"/>
          <w:szCs w:val="24"/>
          <w:highlight w:val="none"/>
          <w:lang w:val="en-US" w:eastAsia="zh-CN"/>
        </w:rPr>
        <w:t xml:space="preserve">不定期对</w:t>
      </w:r>
      <w:r>
        <w:rPr>
          <w:rFonts w:hint="eastAsia" w:ascii="宋体" w:hAnsi="宋体" w:cs="Times New Roman"/>
          <w:color w:val="auto"/>
          <w:sz w:val="24"/>
          <w:szCs w:val="24"/>
          <w:highlight w:val="none"/>
          <w:lang w:val="en-US" w:eastAsia="zh-CN"/>
        </w:rPr>
        <w:t xml:space="preserve">其</w:t>
      </w:r>
      <w:r>
        <w:rPr>
          <w:rFonts w:hint="eastAsia" w:ascii="宋体" w:hAnsi="宋体" w:eastAsia="宋体" w:cs="Times New Roman"/>
          <w:color w:val="auto"/>
          <w:sz w:val="24"/>
          <w:szCs w:val="24"/>
          <w:highlight w:val="none"/>
          <w:lang w:val="en-US" w:eastAsia="zh-CN"/>
        </w:rPr>
        <w:t xml:space="preserve">进行飞检，</w:t>
      </w:r>
      <w:r>
        <w:rPr>
          <w:rFonts w:hint="eastAsia" w:ascii="宋体" w:hAnsi="宋体" w:eastAsia="宋体" w:cs="宋体"/>
          <w:color w:val="auto"/>
          <w:sz w:val="24"/>
          <w:szCs w:val="24"/>
          <w:highlight w:val="none"/>
          <w:lang w:val="en-US" w:eastAsia="zh-CN"/>
        </w:rPr>
        <w:t xml:space="preserve">对质量不符合现行版《中华人民共和国药典》《中华人民共和国药典临床用药须知（中药饮片卷）》《江苏省中药饮片炮制规范》等要求的</w:t>
      </w:r>
      <w:r>
        <w:rPr>
          <w:rFonts w:hint="eastAsia" w:ascii="宋体" w:hAnsi="宋体" w:eastAsia="宋体" w:cs="Times New Roman"/>
          <w:color w:val="auto"/>
          <w:sz w:val="24"/>
          <w:szCs w:val="24"/>
          <w:highlight w:val="none"/>
          <w:lang w:val="en-US" w:eastAsia="zh-CN"/>
        </w:rPr>
        <w:t xml:space="preserve">，可以进行退货处理</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不合格次数一年累计满3次，院方可随时终止合同。</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8.中药代煎及配送服务要求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中标供应商提供中药饮片代煎服务所使用的场地、设备、包装材料、环境卫生和煎药人员资质等符合《医院中药饮片管理规范》《医疗机构中药煎药室管理规范》和《中药煎药机》《中药汤剂包装机》《江苏省中药饮片代煎服务质量管理规范》等行业标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②为了保证代煎中药质量，中标人对每个操作步骤都作出详细规定，并做好记录可供追溯，全程均有监控录像，做到每个操作步骤都有记录存档，有质量跟踪。</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③现场环境整洁，不存在废水、废气、废渣等污染问题。</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④煎药质量保证</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煎药时长、温度、文武火、先煎后下等煎煮条件由计算机设置，避免人为操作失误，实现煎药过程标准化。</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⑤熬膏辅料齐全，至少包括冰糖、饴糖、木糖醇、蜂蜜、元贞糖，以及核桃肉、黑芝麻。</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⑥配送服务：中标人的中药饮片提供免费配送至社区卫生服务中心，有专门配送车队。</w:t>
      </w:r>
      <w:r>
        <w:rPr>
          <w:rFonts w:hint="eastAsia" w:ascii="宋体" w:hAnsi="宋体" w:cs="宋体"/>
          <w:b w:val="0"/>
          <w:bCs w:val="0"/>
          <w:color w:val="auto"/>
          <w:sz w:val="24"/>
          <w:szCs w:val="24"/>
          <w:highlight w:val="none"/>
          <w:lang w:val="en-US" w:eastAsia="zh-CN"/>
        </w:rPr>
        <w:t xml:space="preserve">提供配送至</w:t>
      </w:r>
      <w:r>
        <w:rPr>
          <w:rFonts w:hint="eastAsia" w:ascii="宋体" w:hAnsi="宋体" w:eastAsia="宋体" w:cs="宋体"/>
          <w:b w:val="0"/>
          <w:bCs w:val="0"/>
          <w:color w:val="auto"/>
          <w:sz w:val="24"/>
          <w:szCs w:val="24"/>
          <w:highlight w:val="none"/>
          <w:lang w:val="en-US" w:eastAsia="zh-CN"/>
        </w:rPr>
        <w:t xml:space="preserve">患者家中</w:t>
      </w:r>
      <w:r>
        <w:rPr>
          <w:rFonts w:hint="eastAsia" w:ascii="宋体" w:hAnsi="宋体" w:cs="宋体"/>
          <w:b w:val="0"/>
          <w:bCs w:val="0"/>
          <w:color w:val="auto"/>
          <w:sz w:val="24"/>
          <w:szCs w:val="24"/>
          <w:highlight w:val="none"/>
          <w:lang w:val="en-US" w:eastAsia="zh-CN"/>
        </w:rPr>
        <w:t xml:space="preserve">服务，配送费由患者支付。因配送导致包装破损或其他纠纷问题由中标供应商负责与快递公司协商解决。</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9.中标供应商供应的中药饮片保证符合国家相关质量标准，如因产品质量</w:t>
      </w:r>
      <w:r>
        <w:rPr>
          <w:rFonts w:hint="eastAsia" w:ascii="宋体" w:hAnsi="宋体" w:cs="宋体"/>
          <w:b w:val="0"/>
          <w:bCs w:val="0"/>
          <w:color w:val="auto"/>
          <w:sz w:val="24"/>
          <w:szCs w:val="24"/>
          <w:highlight w:val="none"/>
          <w:lang w:val="en-US" w:eastAsia="zh-CN"/>
        </w:rPr>
        <w:t xml:space="preserve">或其他</w:t>
      </w:r>
      <w:r>
        <w:rPr>
          <w:rFonts w:hint="eastAsia" w:ascii="宋体" w:hAnsi="宋体" w:eastAsia="宋体" w:cs="宋体"/>
          <w:b w:val="0"/>
          <w:bCs w:val="0"/>
          <w:color w:val="auto"/>
          <w:sz w:val="24"/>
          <w:szCs w:val="24"/>
          <w:highlight w:val="none"/>
          <w:lang w:val="en-US" w:eastAsia="zh-CN"/>
        </w:rPr>
        <w:t xml:space="preserve">问题导致不良后果，中标人</w:t>
      </w:r>
      <w:r>
        <w:rPr>
          <w:rFonts w:hint="eastAsia" w:ascii="宋体" w:hAnsi="宋体" w:cs="宋体"/>
          <w:b w:val="0"/>
          <w:bCs w:val="0"/>
          <w:color w:val="auto"/>
          <w:sz w:val="24"/>
          <w:szCs w:val="24"/>
          <w:highlight w:val="none"/>
          <w:lang w:val="en-US" w:eastAsia="zh-CN"/>
        </w:rPr>
        <w:t xml:space="preserve">负有</w:t>
      </w:r>
      <w:r>
        <w:rPr>
          <w:rFonts w:hint="eastAsia" w:ascii="宋体" w:hAnsi="宋体" w:eastAsia="宋体" w:cs="宋体"/>
          <w:b w:val="0"/>
          <w:bCs w:val="0"/>
          <w:color w:val="auto"/>
          <w:sz w:val="24"/>
          <w:szCs w:val="24"/>
          <w:highlight w:val="none"/>
          <w:lang w:val="en-US" w:eastAsia="zh-CN"/>
        </w:rPr>
        <w:t xml:space="preserve">相应的经济及法律责任。且院方可随时终止合同。</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10.中药饮片出现混装、与提供信息不相符者，取消该供应公司的所有中药饮片配送资格。</w:t>
      </w:r>
      <w:r/>
    </w:p>
    <w:p>
      <w:pPr>
        <w:numPr>
          <w:ilvl w:val="0"/>
          <w:numId w:val="0"/>
        </w:num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11.服务响应：一般问题如未能按时送达、顾客服务性投诉的，响应时间不超过半小时，重大问题如货物遗失的，解决问题时间不超过 24 小时。</w:t>
      </w:r>
      <w:r/>
    </w:p>
    <w:p>
      <w:pPr>
        <w:numPr>
          <w:ilvl w:val="0"/>
          <w:numId w:val="0"/>
        </w:num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附：中药饮片代煎服务要求</w:t>
      </w:r>
      <w:r/>
    </w:p>
    <w:tbl>
      <w:tblPr>
        <w:tblStyle w:val="735"/>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7263"/>
      </w:tblGrid>
      <w:tr>
        <w:trPr>
          <w:jc w:val="center"/>
        </w:trPr>
        <w:tc>
          <w:tcPr>
            <w:tcW w:w="1671"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场地设施和加工用具</w:t>
            </w:r>
            <w:r/>
          </w:p>
        </w:tc>
        <w:tc>
          <w:tcPr>
            <w:tcW w:w="7263" w:type="dxa"/>
            <w:vAlign w:val="top"/>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具体要求</w:t>
            </w:r>
            <w:r/>
          </w:p>
        </w:tc>
      </w:tr>
      <w:tr>
        <w:trPr>
          <w:jc w:val="center"/>
        </w:trPr>
        <w:tc>
          <w:tcPr>
            <w:tcW w:w="1671" w:type="dxa"/>
            <w:vAlign w:val="top"/>
            <w:vMerge w:val="continue"/>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p>
        </w:tc>
      </w:tr>
      <w:tr>
        <w:trPr>
          <w:jc w:val="center"/>
        </w:trPr>
        <w:tc>
          <w:tcPr>
            <w:tcW w:w="1671" w:type="dxa"/>
            <w:vAlign w:val="top"/>
            <w:vMerge w:val="continue"/>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2.设置中药煎药专用饮片仓库，仓储管理符合GSP的相关要求。</w:t>
            </w:r>
            <w:r/>
          </w:p>
        </w:tc>
      </w:tr>
      <w:tr>
        <w:trPr>
          <w:jc w:val="center"/>
        </w:trPr>
        <w:tc>
          <w:tcPr>
            <w:tcW w:w="1671" w:type="dxa"/>
            <w:vAlign w:val="top"/>
            <w:vMerge w:val="continue"/>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3.加强煎药设备的维护养护和分类管理，设备有明显状态标识。</w:t>
            </w:r>
            <w:r/>
          </w:p>
        </w:tc>
      </w:tr>
      <w:tr>
        <w:trPr>
          <w:jc w:val="center"/>
        </w:trPr>
        <w:tc>
          <w:tcPr>
            <w:tcW w:w="1671" w:type="dxa"/>
            <w:vAlign w:val="top"/>
            <w:vMerge w:val="continue"/>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4.煎药场所应定期消毒</w:t>
            </w:r>
            <w:r/>
          </w:p>
        </w:tc>
      </w:tr>
      <w:tr>
        <w:trPr>
          <w:jc w:val="center"/>
          <w:trHeight w:val="488"/>
        </w:trPr>
        <w:tc>
          <w:tcPr>
            <w:tcW w:w="1671"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岗位人员要求</w:t>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1.煎药部门负责人应具有</w:t>
            </w: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p>
        </w:tc>
      </w:tr>
      <w:tr>
        <w:trPr>
          <w:jc w:val="center"/>
        </w:trPr>
        <w:tc>
          <w:tcPr>
            <w:tcW w:w="1671" w:type="dxa"/>
            <w:vAlign w:val="center"/>
            <w:vMerge w:val="continue"/>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2.从事中药调配、复核与煎药岗位操作人员参照《食品从业人员健康标准》，上岗前及每年进行健康体检，并建立健康档案。</w:t>
            </w:r>
            <w:r/>
          </w:p>
        </w:tc>
      </w:tr>
      <w:tr>
        <w:trPr>
          <w:jc w:val="center"/>
        </w:trPr>
        <w:tc>
          <w:tcPr>
            <w:tcW w:w="1671" w:type="dxa"/>
            <w:vAlign w:val="center"/>
            <w:vMerge w:val="restart"/>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代煎调配</w:t>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1.生产企业应使用自产饮片，</w:t>
            </w:r>
            <w:r>
              <w:rPr>
                <w:rFonts w:hint="eastAsia" w:ascii="宋体" w:hAnsi="宋体" w:cs="宋体"/>
                <w:b w:val="0"/>
                <w:bCs w:val="0"/>
                <w:color w:val="auto"/>
                <w:sz w:val="24"/>
                <w:szCs w:val="24"/>
                <w:highlight w:val="none"/>
                <w:lang w:val="en-US" w:eastAsia="zh-CN"/>
              </w:rPr>
              <w:t xml:space="preserve">做好</w:t>
            </w:r>
            <w:r>
              <w:rPr>
                <w:rFonts w:hint="eastAsia" w:ascii="宋体" w:hAnsi="宋体" w:eastAsia="宋体" w:cs="宋体"/>
                <w:b w:val="0"/>
                <w:bCs w:val="0"/>
                <w:color w:val="auto"/>
                <w:sz w:val="24"/>
                <w:szCs w:val="24"/>
                <w:highlight w:val="none"/>
                <w:lang w:val="en-US" w:eastAsia="zh-CN"/>
              </w:rPr>
              <w:t xml:space="preserve">煎药专用饮片仓库进出库记录台账和批号追踪管理。应从具有合法企业资质的企业采购符合“中国药典”及“江苏省中药饮片炮制规范”质量标准的饮片进行调配。</w:t>
            </w:r>
            <w:r/>
          </w:p>
        </w:tc>
      </w:tr>
      <w:tr>
        <w:trPr>
          <w:jc w:val="center"/>
        </w:trPr>
        <w:tc>
          <w:tcPr>
            <w:tcW w:w="1671" w:type="dxa"/>
            <w:vAlign w:val="top"/>
            <w:vMerge w:val="continue"/>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jc w:val="center"/>
        </w:trPr>
        <w:tc>
          <w:tcPr>
            <w:tcW w:w="1671" w:type="dxa"/>
            <w:vAlign w:val="center"/>
            <w:vMerge w:val="restart"/>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技术标准</w:t>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1.中药饮片质量标准：符合现行版《中华人民共和国药典》及《江苏省中药饮片炮制规范》。</w:t>
            </w:r>
            <w:r/>
          </w:p>
        </w:tc>
      </w:tr>
      <w:tr>
        <w:trPr>
          <w:jc w:val="center"/>
        </w:trPr>
        <w:tc>
          <w:tcPr>
            <w:tcW w:w="1671" w:type="dxa"/>
            <w:vAlign w:val="top"/>
            <w:vMerge w:val="continue"/>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2.煎药机煎液包装膜材质：PET/PE耐高温无毒，符合药品包装材料药用复合膜通则规定要求。</w:t>
            </w:r>
            <w:r/>
          </w:p>
        </w:tc>
      </w:tr>
      <w:tr>
        <w:trPr>
          <w:jc w:val="center"/>
        </w:trPr>
        <w:tc>
          <w:tcPr>
            <w:tcW w:w="1671" w:type="dxa"/>
            <w:vAlign w:val="top"/>
            <w:vMerge w:val="continue"/>
            <w:textDirection w:val="lrTb"/>
            <w:noWrap w:val="false"/>
          </w:tcPr>
          <w:p>
            <w:pPr>
              <w:ind w:firstLine="24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263" w:type="dxa"/>
            <w:vAlign w:val="top"/>
            <w:textDirection w:val="lrTb"/>
            <w:noWrap w:val="false"/>
          </w:tcPr>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3.汤剂质量标准：①药料煎透度：汁浓味厚，色泽均匀，无可见异物；②药液装量：分装均匀，装量差异控制在±5%以内；③药液包装袋封口平整完好，无渗漏，无药汁污染。</w:t>
            </w:r>
            <w:r/>
          </w:p>
        </w:tc>
      </w:tr>
    </w:tbl>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中药饮片清单及单价最高限价</w:t>
      </w:r>
      <w:r/>
    </w:p>
    <w:tbl>
      <w:tblPr>
        <w:tblStyle w:val="735"/>
        <w:tblW w:w="7651" w:type="dxa"/>
        <w:tblInd w:w="10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1704"/>
        <w:gridCol w:w="780"/>
        <w:gridCol w:w="1392"/>
        <w:gridCol w:w="1188"/>
        <w:gridCol w:w="1861"/>
      </w:tblGrid>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包装单位</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最高限价（元/g、个、对）</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阿胶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八月扎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白残花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白豆蔻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白矾</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0.38</w:t>
            </w:r>
            <w:r/>
          </w:p>
        </w:tc>
      </w:tr>
      <w:tr>
        <w:trPr>
          <w:trHeight w:val="39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0.0424</w:t>
            </w:r>
            <w:r/>
          </w:p>
        </w:tc>
      </w:tr>
      <w:tr>
        <w:trPr>
          <w:trHeight w:val="39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r>
      <w:tr>
        <w:trPr>
          <w:trHeight w:val="39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百合干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0.1952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0.25112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焙壁虎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0.7893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荜茇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扁豆衣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蚕砂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藏青果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草豆蔻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0.1782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侧柏叶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0.5576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炒白芥子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炒补骨脂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炒苍术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炒淡豆豉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0.2722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0.42816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炒海螵蛸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炒黄柏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0.286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炒麦芽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炒青皮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炒山药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炒薏苡仁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炒泽泻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炒枳壳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炒枳实</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陈棕炭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赤石脂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楮实子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6.786666667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川牛膝</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穿山龙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穿心莲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椿根皮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磁石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0.025864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醋鳖甲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0.2632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醋龟甲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醋乌梅</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0.0538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0.1744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大蓟草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代代花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0.298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丹参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0.211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刀豆壳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灯心草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地丁草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地耳草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0.0598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地枫皮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0.041066667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0.162666667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冬葵子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冬凌草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杜仲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煅磁石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0.020533333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煅代赭石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煅蛤壳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0.023733333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煅珍珠母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煅钟乳石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鹅不食草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0.2312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番白草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防风 </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0.7056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0.2104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分心木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粉葛</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枫斗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1.0161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凤凰衣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佛耳草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佛手片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0.10764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浮萍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0.3736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甘草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0.07128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藁本</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葛花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功劳叶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0.1904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狗脊</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枸骨叶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谷精草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贯众炭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广地龙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0.2678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0.1944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鬼针草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桂枝</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蛤黛散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海浮石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海金沙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蒿本</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合欢皮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黑豆衣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红参片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红豆杉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5.4688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厚朴花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0.3128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葫芦巴</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琥珀粉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0.08052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花生衣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淮小麦</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槐角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槐米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黄连</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0.477333333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黄芩</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黄芩炭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黄药子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鸡冠花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建曲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0.306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焦稻芽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焦麦芽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0.0195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焦山栀</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接骨木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金蝉花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0.7364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0.04066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金荞麦</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金银花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金樱子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0.09552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荆芥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荆芥炭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九节菖蒲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0.3088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0.1728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酒炒当归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0.1696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0.3744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酒黄精</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酒乌梢蛇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酒萸肉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桔梗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橘叶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苦丁茶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苦楝皮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苦杏仁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0.0719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辣蓼</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老鹳草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雷公藤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荔枝核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连翘</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莲子肉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0.0905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凌霄花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0.1198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刘寄奴</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六一散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龙胆草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龙眼肉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芦荟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0.407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0.36928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鹿衔草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律草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绿豆衣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绿梅花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马勃</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蔓荆子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毛冬青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密蒙花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蜜瓜蒌皮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0.2928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绵马贯众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牡丹皮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木蝴蝶(千张纸）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0.0498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木馒头</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0.04378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木贼</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牛膝</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藕节炭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平地木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蒲公英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0.206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蒲黄炭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荠菜花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千里光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0.0938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0.11056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0.3856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青葙子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清半夏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拳参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1.75668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人中白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人中黄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肉豆蔻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桑螵蛸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0.362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0.901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山豆根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蛇六谷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蛇蜕</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生白术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生稻芽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生地黄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生鸡内金</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生麦芽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生牡蛎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失笑散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石斛</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石决明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石楠叶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石上柏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秫米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水飞蓟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水牛角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苏木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娑罗子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太子参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0.327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桃仁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天花粉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天葵子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0.3976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铁树叶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葶苈子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透骨草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土鳖虫</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望江南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煨诃子肉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喜树果</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0.268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夏枯草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仙鹤草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香橼皮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小蓟草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辛夷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0.1352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玄参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玄明粉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旋覆花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血余炭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寻骨风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鸭跖草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0.1984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0.1264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盐杜仲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盐沙苑子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0.1066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阳起石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益母草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薏苡仁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银杏叶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油松节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鱼腥草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禹余粮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月季花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0.165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珍珠母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0.0624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制草乌</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0.1296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制附子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0.0704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制天南星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0.1032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0.494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制香附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炙刺猬皮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0.288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炙甘草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炙麻黄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肿节风</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重楼</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0.876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珠子参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紫贝齿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0.3456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紫石英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阿胶珠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4.59</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西洋参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0.67712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熊胆粉</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煅青礞石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人工牛黄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44.602857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鹿血晶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46.5</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艾条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大蓟炭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0.114</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煅花蕊石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0.0476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海桐皮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0.07872</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寒水石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0.06626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白槿花</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枳椇子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大枫子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生麻黄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0.08747</w:t>
            </w:r>
            <w:r/>
          </w:p>
        </w:tc>
      </w:tr>
    </w:tbl>
    <w:p>
      <w:pPr>
        <w:numPr>
          <w:ilvl w:val="0"/>
          <w:numId w:val="0"/>
        </w:numPr>
        <w:ind w:firstLine="480"/>
        <w:spacing w:line="360" w:lineRule="auto"/>
        <w:rPr>
          <w:rFonts w:hint="eastAsia"/>
          <w:b/>
          <w:bCs/>
          <w:strike w:val="0"/>
          <w:color w:val="auto"/>
          <w:sz w:val="24"/>
          <w:highlight w:val="none"/>
          <w:lang w:val="en-US" w:eastAsia="zh-CN"/>
        </w:rPr>
      </w:pPr>
      <w:r>
        <w:rPr>
          <w:rFonts w:hint="eastAsia"/>
          <w:b/>
          <w:bCs/>
          <w:strike w:val="0"/>
          <w:color w:val="auto"/>
          <w:sz w:val="24"/>
          <w:highlight w:val="none"/>
          <w:lang w:val="en-US" w:eastAsia="zh-CN"/>
        </w:rPr>
      </w:r>
      <w:r/>
    </w:p>
    <w:p>
      <w:pPr>
        <w:numPr>
          <w:ilvl w:val="0"/>
          <w:numId w:val="0"/>
        </w:numPr>
        <w:ind w:firstLine="480"/>
        <w:spacing w:line="360" w:lineRule="auto"/>
        <w:rPr>
          <w:rFonts w:hint="eastAsia" w:eastAsia="宋体"/>
          <w:color w:val="auto"/>
          <w:sz w:val="24"/>
          <w:highlight w:val="none"/>
          <w:lang w:val="en-US" w:eastAsia="zh-CN"/>
        </w:rPr>
      </w:pPr>
      <w:r>
        <w:rPr>
          <w:rFonts w:hint="eastAsia"/>
          <w:b/>
          <w:bCs/>
          <w:strike w:val="0"/>
          <w:color w:val="auto"/>
          <w:sz w:val="24"/>
          <w:highlight w:val="none"/>
          <w:lang w:val="en-US" w:eastAsia="zh-CN"/>
        </w:rPr>
        <w:t xml:space="preserve">注：若受政策性因素影响，中标后以</w:t>
      </w:r>
      <w:r>
        <w:rPr>
          <w:rFonts w:hint="eastAsia" w:ascii="Times New Roman" w:hAnsi="Times New Roman" w:eastAsia="宋体" w:cs="Times New Roman"/>
          <w:b/>
          <w:bCs/>
          <w:strike w:val="0"/>
          <w:color w:val="auto"/>
          <w:sz w:val="24"/>
          <w:highlight w:val="none"/>
          <w:lang w:val="en-US" w:eastAsia="zh-CN"/>
        </w:rPr>
        <w:t xml:space="preserve">上药品种类需纳入集中采购目录的，采购人有权与中标人终止该药品种类的采购，并不构成违约。</w:t>
      </w:r>
      <w:r>
        <w:rPr>
          <w:rFonts w:hint="eastAsia"/>
          <w:color w:val="auto"/>
          <w:sz w:val="24"/>
          <w:highlight w:val="none"/>
        </w:rPr>
        <w:t xml:space="preserve">如采购人有需要其他不在此次招标清单内的中药饮片</w:t>
      </w:r>
      <w:r>
        <w:rPr>
          <w:rFonts w:hint="eastAsia"/>
          <w:color w:val="auto"/>
          <w:sz w:val="24"/>
          <w:highlight w:val="none"/>
          <w:lang w:eastAsia="zh-CN"/>
        </w:rPr>
        <w:t xml:space="preserve">，</w:t>
      </w:r>
      <w:r>
        <w:rPr>
          <w:rFonts w:hint="eastAsia"/>
          <w:color w:val="auto"/>
          <w:sz w:val="24"/>
          <w:highlight w:val="none"/>
        </w:rPr>
        <w:t xml:space="preserve">则参考本地同等级</w:t>
      </w:r>
      <w:r>
        <w:rPr>
          <w:rFonts w:hint="eastAsia" w:eastAsia="宋体"/>
          <w:color w:val="auto"/>
          <w:sz w:val="24"/>
          <w:highlight w:val="none"/>
          <w:lang w:val="en-US" w:eastAsia="zh-CN"/>
        </w:rPr>
        <w:t xml:space="preserve">社区卫生服务中心</w:t>
      </w:r>
      <w:r>
        <w:rPr>
          <w:rFonts w:hint="eastAsia"/>
          <w:color w:val="auto"/>
          <w:sz w:val="24"/>
          <w:highlight w:val="none"/>
        </w:rPr>
        <w:t xml:space="preserve">供货价*</w:t>
      </w:r>
      <w:r>
        <w:rPr>
          <w:rFonts w:hint="eastAsia"/>
          <w:color w:val="auto"/>
          <w:sz w:val="24"/>
          <w:highlight w:val="none"/>
          <w:lang w:eastAsia="zh-CN"/>
        </w:rPr>
        <w:t xml:space="preserve">（1－中标优惠率）</w:t>
      </w:r>
      <w:r>
        <w:rPr>
          <w:rFonts w:hint="eastAsia"/>
          <w:color w:val="auto"/>
          <w:sz w:val="24"/>
          <w:highlight w:val="none"/>
        </w:rPr>
        <w:t xml:space="preserve">进行结算</w:t>
      </w:r>
      <w:r>
        <w:rPr>
          <w:rFonts w:hint="eastAsia"/>
          <w:color w:val="auto"/>
          <w:sz w:val="24"/>
          <w:highlight w:val="none"/>
          <w:lang w:eastAsia="zh-CN"/>
        </w:rPr>
        <w:t xml:space="preserve">，</w:t>
      </w:r>
      <w:r>
        <w:rPr>
          <w:rFonts w:hint="eastAsia"/>
          <w:color w:val="auto"/>
          <w:sz w:val="24"/>
          <w:highlight w:val="none"/>
        </w:rPr>
        <w:t xml:space="preserve">中标人需提供同等级</w:t>
      </w:r>
      <w:r>
        <w:rPr>
          <w:rFonts w:hint="eastAsia" w:eastAsia="宋体"/>
          <w:color w:val="auto"/>
          <w:sz w:val="24"/>
          <w:highlight w:val="none"/>
          <w:lang w:val="en-US" w:eastAsia="zh-CN"/>
        </w:rPr>
        <w:t xml:space="preserve">社区卫生服务中心</w:t>
      </w:r>
      <w:r>
        <w:rPr>
          <w:rFonts w:hint="eastAsia"/>
          <w:color w:val="auto"/>
          <w:sz w:val="24"/>
          <w:highlight w:val="none"/>
        </w:rPr>
        <w:t xml:space="preserve">供货清单</w:t>
      </w:r>
      <w:r>
        <w:rPr>
          <w:rFonts w:hint="eastAsia"/>
          <w:color w:val="auto"/>
          <w:sz w:val="24"/>
          <w:highlight w:val="none"/>
          <w:lang w:eastAsia="zh-CN"/>
        </w:rPr>
        <w:t xml:space="preserve">，</w:t>
      </w:r>
      <w:r>
        <w:rPr>
          <w:rFonts w:hint="eastAsia"/>
          <w:color w:val="auto"/>
          <w:sz w:val="24"/>
          <w:highlight w:val="none"/>
        </w:rPr>
        <w:t xml:space="preserve">双方确认后进行结算</w:t>
      </w:r>
      <w:r>
        <w:rPr>
          <w:rFonts w:hint="eastAsia"/>
          <w:color w:val="auto"/>
          <w:sz w:val="24"/>
          <w:highlight w:val="none"/>
          <w:lang w:eastAsia="zh-CN"/>
        </w:rPr>
        <w:t xml:space="preserve">。</w:t>
      </w:r>
      <w:r/>
    </w:p>
    <w:p>
      <w:pPr>
        <w:pStyle w:val="1179"/>
        <w:numPr>
          <w:ilvl w:val="0"/>
          <w:numId w:val="0"/>
        </w:numPr>
        <w:spacing w:line="360" w:lineRule="auto"/>
        <w:rPr>
          <w:rFonts w:hint="eastAsia"/>
          <w:color w:val="auto"/>
          <w:highlight w:val="none"/>
          <w:lang w:val="en-US" w:eastAsia="zh-CN"/>
        </w:rPr>
      </w:pPr>
      <w:r>
        <w:rPr>
          <w:rFonts w:hint="eastAsia"/>
          <w:color w:val="auto"/>
          <w:highlight w:val="none"/>
          <w:lang w:val="en-US" w:eastAsia="zh-CN"/>
        </w:rPr>
        <w:t xml:space="preserve">四、代加工服务需求清单：</w:t>
      </w:r>
      <w:r/>
    </w:p>
    <w:tbl>
      <w:tblPr>
        <w:tblStyle w:val="735"/>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2171"/>
        <w:gridCol w:w="808"/>
        <w:gridCol w:w="1724"/>
        <w:gridCol w:w="3073"/>
      </w:tblGrid>
      <w:tr>
        <w:trPr>
          <w:jc w:val="center"/>
          <w:trHeight w:val="23"/>
        </w:trPr>
        <w:tc>
          <w:tcPr>
            <w:tcW w:w="760" w:type="pct"/>
            <w:vAlign w:val="center"/>
            <w:textDirection w:val="lrTb"/>
            <w:noWrap w:val="false"/>
          </w:tcPr>
          <w:p>
            <w:pPr>
              <w:jc w:val="cente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t xml:space="preserve">序号</w:t>
            </w:r>
            <w:r/>
          </w:p>
        </w:tc>
        <w:tc>
          <w:tcPr>
            <w:tcW w:w="1183" w:type="pct"/>
            <w:vAlign w:val="center"/>
            <w:textDirection w:val="lrTb"/>
            <w:noWrap w:val="false"/>
          </w:tcPr>
          <w:p>
            <w:pPr>
              <w:jc w:val="center"/>
              <w:spacing w:line="360" w:lineRule="auto"/>
              <w:rPr>
                <w:rFonts w:ascii="宋体" w:hAnsi="宋体"/>
                <w:b/>
                <w:bCs/>
                <w:color w:val="auto"/>
                <w:sz w:val="21"/>
                <w:szCs w:val="21"/>
                <w:highlight w:val="none"/>
                <w:lang w:val="zh-CN"/>
              </w:rPr>
            </w:pPr>
            <w:r>
              <w:rPr>
                <w:rFonts w:hint="eastAsia" w:ascii="宋体" w:hAnsi="宋体"/>
                <w:b/>
                <w:bCs/>
                <w:color w:val="auto"/>
                <w:sz w:val="21"/>
                <w:szCs w:val="21"/>
                <w:highlight w:val="none"/>
              </w:rPr>
              <w:t xml:space="preserve">项目</w:t>
            </w:r>
            <w:r>
              <w:rPr>
                <w:rFonts w:ascii="宋体" w:hAnsi="宋体"/>
                <w:b/>
                <w:bCs/>
                <w:color w:val="auto"/>
                <w:sz w:val="21"/>
                <w:szCs w:val="21"/>
                <w:highlight w:val="none"/>
                <w:lang w:val="zh-CN"/>
              </w:rPr>
              <w:t xml:space="preserve">名称</w:t>
            </w:r>
            <w:r/>
          </w:p>
        </w:tc>
        <w:tc>
          <w:tcPr>
            <w:tcW w:w="440" w:type="pct"/>
            <w:vAlign w:val="center"/>
            <w:textDirection w:val="lrTb"/>
            <w:noWrap w:val="false"/>
          </w:tcPr>
          <w:p>
            <w:pPr>
              <w:jc w:val="center"/>
              <w:spacing w:line="360" w:lineRule="auto"/>
              <w:rPr>
                <w:rFonts w:hint="eastAsia" w:ascii="宋体" w:hAnsi="宋体"/>
                <w:b/>
                <w:bCs/>
                <w:color w:val="auto"/>
                <w:sz w:val="21"/>
                <w:szCs w:val="21"/>
                <w:highlight w:val="none"/>
              </w:rPr>
            </w:pPr>
            <w:r>
              <w:rPr>
                <w:rFonts w:hint="eastAsia" w:ascii="宋体" w:hAnsi="宋体" w:cs="宋体"/>
                <w:b/>
                <w:bCs/>
                <w:color w:val="auto"/>
                <w:sz w:val="21"/>
                <w:szCs w:val="21"/>
                <w:highlight w:val="none"/>
              </w:rPr>
              <w:t xml:space="preserve">单位</w:t>
            </w:r>
            <w:r/>
          </w:p>
        </w:tc>
        <w:tc>
          <w:tcPr>
            <w:tcW w:w="940" w:type="pct"/>
            <w:vAlign w:val="center"/>
            <w:textDirection w:val="lrTb"/>
            <w:noWrap w:val="false"/>
          </w:tcPr>
          <w:p>
            <w:pPr>
              <w:jc w:val="center"/>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最高限价（元）</w:t>
            </w:r>
            <w:r/>
          </w:p>
        </w:tc>
        <w:tc>
          <w:tcPr>
            <w:tcW w:w="1675" w:type="pct"/>
            <w:vAlign w:val="center"/>
            <w:textDirection w:val="lrTb"/>
            <w:noWrap w:val="false"/>
          </w:tcPr>
          <w:p>
            <w:pPr>
              <w:jc w:val="cente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t xml:space="preserve">备注</w:t>
            </w:r>
            <w:r/>
          </w:p>
        </w:tc>
      </w:tr>
      <w:tr>
        <w:trPr>
          <w:jc w:val="center"/>
          <w:trHeight w:val="518"/>
        </w:trPr>
        <w:tc>
          <w:tcPr>
            <w:tcW w:w="760" w:type="pct"/>
            <w:vAlign w:val="center"/>
            <w:textDirection w:val="lrTb"/>
            <w:noWrap w:val="false"/>
          </w:tcPr>
          <w:p>
            <w:pPr>
              <w:jc w:val="center"/>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1</w:t>
            </w:r>
            <w:r/>
          </w:p>
        </w:tc>
        <w:tc>
          <w:tcPr>
            <w:tcW w:w="2171" w:type="dxa"/>
            <w:vAlign w:val="center"/>
            <w:textDirection w:val="lrTb"/>
            <w:noWrap w:val="false"/>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中药临方加工（煎汤）</w:t>
            </w:r>
            <w:r/>
          </w:p>
        </w:tc>
        <w:tc>
          <w:tcPr>
            <w:tcW w:w="808" w:type="dxa"/>
            <w:vAlign w:val="center"/>
            <w:textDirection w:val="lrTb"/>
            <w:noWrap w:val="false"/>
          </w:tcPr>
          <w:p>
            <w:pPr>
              <w:jc w:val="center"/>
              <w:keepLines w:val="0"/>
              <w:keepNext w:val="0"/>
              <w:widowControl/>
              <w:rPr>
                <w:rFonts w:hint="eastAsia" w:ascii="宋体" w:hAnsi="宋体" w:eastAsia="宋体"/>
                <w:color w:val="auto"/>
                <w:sz w:val="21"/>
                <w:szCs w:val="21"/>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贴</w:t>
            </w:r>
            <w:r/>
          </w:p>
        </w:tc>
        <w:tc>
          <w:tcPr>
            <w:tcW w:w="1724" w:type="dxa"/>
            <w:vAlign w:val="center"/>
            <w:textDirection w:val="lrTb"/>
            <w:noWrap w:val="false"/>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3073"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煎药机煎药</w:t>
            </w:r>
            <w:r/>
          </w:p>
        </w:tc>
      </w:tr>
      <w:tr>
        <w:trPr>
          <w:jc w:val="center"/>
          <w:trHeight w:val="851"/>
        </w:trPr>
        <w:tc>
          <w:tcPr>
            <w:tcW w:w="760"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W w:w="2171" w:type="dxa"/>
            <w:vAlign w:val="center"/>
            <w:textDirection w:val="lrTb"/>
            <w:noWrap w:val="false"/>
          </w:tcPr>
          <w:p>
            <w:pPr>
              <w:jc w:val="center"/>
              <w:keepLines w:val="0"/>
              <w:keepNext w:val="0"/>
              <w:widowControl/>
              <w:rPr>
                <w:rFonts w:hint="eastAsia" w:ascii="宋体" w:hAnsi="宋体"/>
                <w:color w:val="auto"/>
                <w:sz w:val="21"/>
                <w:szCs w:val="21"/>
                <w:highlight w:val="none"/>
                <w:lang w:val="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中药临方加工（熬膏）</w:t>
            </w:r>
            <w:r/>
          </w:p>
        </w:tc>
        <w:tc>
          <w:tcPr>
            <w:tcW w:w="808" w:type="dxa"/>
            <w:vAlign w:val="center"/>
            <w:textDirection w:val="lrTb"/>
            <w:noWrap w:val="false"/>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料</w:t>
            </w:r>
            <w:r/>
          </w:p>
        </w:tc>
        <w:tc>
          <w:tcPr>
            <w:tcW w:w="1724" w:type="dxa"/>
            <w:vAlign w:val="center"/>
            <w:textDirection w:val="lrTb"/>
            <w:noWrap w:val="false"/>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tcW w:w="3073"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含黄酒、容器、冰糖</w:t>
            </w:r>
            <w:r/>
          </w:p>
        </w:tc>
      </w:tr>
      <w:tr>
        <w:trPr>
          <w:jc w:val="center"/>
          <w:trHeight w:val="23"/>
        </w:trPr>
        <w:tc>
          <w:tcPr>
            <w:tcW w:w="760"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W w:w="2171"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zh-CN"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中药临方加工（磨粉）</w:t>
            </w:r>
            <w:r/>
          </w:p>
        </w:tc>
        <w:tc>
          <w:tcPr>
            <w:tcW w:w="808" w:type="dxa"/>
            <w:vAlign w:val="center"/>
            <w:textDirection w:val="lrTb"/>
            <w:noWrap w:val="false"/>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tcW w:w="1724" w:type="dxa"/>
            <w:vAlign w:val="center"/>
            <w:textDirection w:val="lrTb"/>
            <w:noWrap w:val="false"/>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W w:w="307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以500g为收费起点，不足500g按500g收费；每超过100g加收1.5元，不足100g按100g收费。</w:t>
            </w:r>
            <w:r/>
          </w:p>
        </w:tc>
      </w:tr>
      <w:tr>
        <w:trPr>
          <w:jc w:val="center"/>
          <w:trHeight w:val="23"/>
        </w:trPr>
        <w:tc>
          <w:tcPr>
            <w:tcW w:w="760"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W w:w="2171"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zh-CN"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中药临方加工（制丸）</w:t>
            </w:r>
            <w:r/>
          </w:p>
        </w:tc>
        <w:tc>
          <w:tcPr>
            <w:tcW w:w="808" w:type="dxa"/>
            <w:vAlign w:val="center"/>
            <w:textDirection w:val="lrTb"/>
            <w:noWrap w:val="false"/>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tcW w:w="1724" w:type="dxa"/>
            <w:vAlign w:val="center"/>
            <w:textDirection w:val="lrTb"/>
            <w:noWrap w:val="false"/>
          </w:tcPr>
          <w:p>
            <w:pPr>
              <w:jc w:val="center"/>
              <w:keepLines w:val="0"/>
              <w:keepNext w:val="0"/>
              <w:widowControl/>
              <w:rPr>
                <w:rFonts w:ascii="宋体" w:hAnsi="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tcW w:w="307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以500g为收费起点，不足500g按500g收费；每超过100g加收5元，不足100g按100g收费。</w:t>
            </w:r>
            <w:r/>
          </w:p>
        </w:tc>
      </w:tr>
      <w:tr>
        <w:trPr>
          <w:jc w:val="center"/>
          <w:trHeight w:val="23"/>
        </w:trPr>
        <w:tc>
          <w:tcPr>
            <w:tcW w:w="760" w:type="pct"/>
            <w:vAlign w:val="center"/>
            <w:textDirection w:val="lrTb"/>
            <w:noWrap w:val="false"/>
          </w:tcPr>
          <w:p>
            <w:pPr>
              <w:jc w:val="center"/>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5</w:t>
            </w:r>
            <w:r/>
          </w:p>
        </w:tc>
        <w:tc>
          <w:tcPr>
            <w:tcW w:w="2171"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阿胶膏加工</w:t>
            </w:r>
            <w:r/>
          </w:p>
        </w:tc>
        <w:tc>
          <w:tcPr>
            <w:tcW w:w="808"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tcW w:w="1724" w:type="dxa"/>
            <w:vAlign w:val="center"/>
            <w:textDirection w:val="lrTb"/>
            <w:noWrap w:val="false"/>
          </w:tcPr>
          <w:p>
            <w:pPr>
              <w:jc w:val="center"/>
              <w:keepLines w:val="0"/>
              <w:keepNext w:val="0"/>
              <w:widowControl/>
              <w:rPr>
                <w:rFonts w:hint="eastAsia" w:ascii="宋体" w:hAnsi="宋体" w:cs="宋体"/>
                <w:color w:val="auto"/>
                <w:sz w:val="21"/>
                <w:szCs w:val="21"/>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tcW w:w="3073"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以阿胶500g为收费起点，不足500g按500g收费；每超过100g加收20元，不足100g按100g收费。</w:t>
            </w:r>
            <w:r/>
          </w:p>
        </w:tc>
      </w:tr>
    </w:tbl>
    <w:p>
      <w:pPr>
        <w:pStyle w:val="773"/>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Times New Roman"/>
          <w:b/>
          <w:bCs/>
          <w:color w:val="auto"/>
          <w:sz w:val="24"/>
          <w:szCs w:val="24"/>
          <w:highlight w:val="none"/>
          <w:lang w:val="en-US" w:eastAsia="zh-CN"/>
        </w:rPr>
        <w:t xml:space="preserve">五、</w:t>
      </w:r>
      <w:r>
        <w:rPr>
          <w:rFonts w:hint="eastAsia" w:ascii="宋体" w:hAnsi="宋体" w:eastAsia="宋体" w:cs="Times New Roman"/>
          <w:b/>
          <w:bCs/>
          <w:color w:val="auto"/>
          <w:sz w:val="24"/>
          <w:szCs w:val="24"/>
          <w:highlight w:val="none"/>
        </w:rPr>
        <w:t xml:space="preserve">付款方式：</w:t>
      </w:r>
      <w:r>
        <w:rPr>
          <w:rFonts w:hint="eastAsia" w:ascii="宋体" w:hAnsi="宋体" w:eastAsia="宋体" w:cs="宋体"/>
          <w:color w:val="auto"/>
          <w:sz w:val="24"/>
          <w:szCs w:val="24"/>
          <w:highlight w:val="none"/>
          <w:u w:val="none"/>
        </w:rPr>
        <w:t xml:space="preserve">合同签订后</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中药饮片及</w:t>
      </w:r>
      <w:r>
        <w:rPr>
          <w:rFonts w:hint="eastAsia" w:ascii="宋体" w:hAnsi="宋体" w:eastAsia="宋体" w:cs="宋体"/>
          <w:color w:val="auto"/>
          <w:sz w:val="24"/>
          <w:szCs w:val="24"/>
          <w:highlight w:val="none"/>
          <w:u w:val="none"/>
          <w:lang w:val="en-US" w:eastAsia="zh-CN"/>
        </w:rPr>
        <w:t xml:space="preserve">代</w:t>
      </w:r>
      <w:r>
        <w:rPr>
          <w:rFonts w:hint="eastAsia" w:ascii="宋体" w:hAnsi="宋体" w:eastAsia="宋体" w:cs="宋体"/>
          <w:color w:val="auto"/>
          <w:sz w:val="24"/>
          <w:szCs w:val="24"/>
          <w:highlight w:val="none"/>
          <w:u w:val="none"/>
        </w:rPr>
        <w:t xml:space="preserve">加工费按实际采购量、处方结算</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中药</w:t>
      </w:r>
      <w:r>
        <w:rPr>
          <w:rFonts w:hint="eastAsia" w:ascii="宋体" w:hAnsi="宋体" w:cs="宋体"/>
          <w:color w:val="auto"/>
          <w:sz w:val="24"/>
          <w:szCs w:val="24"/>
          <w:highlight w:val="none"/>
          <w:u w:val="none"/>
          <w:lang w:val="en-US" w:eastAsia="zh-CN"/>
        </w:rPr>
        <w:t xml:space="preserve">饮片</w:t>
      </w:r>
      <w:r>
        <w:rPr>
          <w:rFonts w:hint="eastAsia" w:ascii="宋体" w:hAnsi="宋体" w:eastAsia="宋体" w:cs="宋体"/>
          <w:color w:val="auto"/>
          <w:sz w:val="24"/>
          <w:szCs w:val="24"/>
          <w:highlight w:val="none"/>
          <w:u w:val="none"/>
          <w:lang w:val="en-US" w:eastAsia="zh-CN"/>
        </w:rPr>
        <w:t xml:space="preserve">每克</w:t>
      </w:r>
      <w:r>
        <w:rPr>
          <w:rFonts w:hint="eastAsia" w:ascii="宋体" w:hAnsi="宋体" w:eastAsia="宋体" w:cs="宋体"/>
          <w:color w:val="auto"/>
          <w:sz w:val="24"/>
          <w:szCs w:val="24"/>
          <w:highlight w:val="none"/>
          <w:u w:val="none"/>
        </w:rPr>
        <w:t xml:space="preserve">单价=</w:t>
      </w:r>
      <w:r>
        <w:rPr>
          <w:rFonts w:hint="eastAsia" w:ascii="宋体" w:hAnsi="宋体" w:eastAsia="宋体" w:cs="宋体"/>
          <w:color w:val="auto"/>
          <w:sz w:val="24"/>
          <w:szCs w:val="24"/>
          <w:highlight w:val="none"/>
          <w:u w:val="none"/>
          <w:lang w:eastAsia="zh-CN"/>
        </w:rPr>
        <w:t xml:space="preserve">（1-中标优惠率）</w:t>
      </w:r>
      <w:r>
        <w:rPr>
          <w:rFonts w:hint="eastAsia" w:ascii="宋体" w:hAnsi="宋体" w:eastAsia="宋体" w:cs="宋体"/>
          <w:color w:val="auto"/>
          <w:sz w:val="24"/>
          <w:szCs w:val="24"/>
          <w:highlight w:val="none"/>
          <w:u w:val="none"/>
        </w:rPr>
        <w:t xml:space="preserve">*单</w:t>
      </w:r>
      <w:r>
        <w:rPr>
          <w:rFonts w:hint="eastAsia" w:ascii="宋体" w:hAnsi="宋体" w:eastAsia="宋体" w:cs="宋体"/>
          <w:color w:val="auto"/>
          <w:sz w:val="24"/>
          <w:szCs w:val="24"/>
          <w:highlight w:val="none"/>
          <w:u w:val="none"/>
          <w:lang w:val="en-US" w:eastAsia="zh-CN"/>
        </w:rPr>
        <w:t xml:space="preserve">克</w:t>
      </w:r>
      <w:r>
        <w:rPr>
          <w:rFonts w:hint="eastAsia" w:ascii="宋体" w:hAnsi="宋体" w:eastAsia="宋体" w:cs="宋体"/>
          <w:color w:val="auto"/>
          <w:sz w:val="24"/>
          <w:szCs w:val="24"/>
          <w:highlight w:val="none"/>
          <w:u w:val="none"/>
        </w:rPr>
        <w:t xml:space="preserve">最高限价</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数量按实结算</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中标方开具正规发票</w:t>
      </w:r>
      <w:r>
        <w:rPr>
          <w:rFonts w:hint="eastAsia" w:ascii="宋体" w:hAnsi="宋体" w:eastAsia="宋体" w:cs="宋体"/>
          <w:color w:val="auto"/>
          <w:sz w:val="24"/>
          <w:szCs w:val="24"/>
          <w:highlight w:val="none"/>
        </w:rPr>
        <w:t xml:space="preserve">，甲方收到发票后根据</w:t>
      </w:r>
      <w:r>
        <w:rPr>
          <w:rFonts w:hint="eastAsia" w:ascii="宋体"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rPr>
        <w:t xml:space="preserve">账期向乙方付款</w:t>
      </w:r>
      <w:r>
        <w:rPr>
          <w:rFonts w:hint="eastAsia" w:ascii="宋体" w:hAnsi="宋体" w:cs="宋体"/>
          <w:color w:val="auto"/>
          <w:sz w:val="24"/>
          <w:szCs w:val="24"/>
          <w:highlight w:val="none"/>
          <w:lang w:eastAsia="zh-CN"/>
        </w:rPr>
        <w:t xml:space="preserve">。</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
          <w:color w:val="auto"/>
          <w:sz w:val="36"/>
          <w:szCs w:val="36"/>
          <w:highlight w:val="none"/>
        </w:rPr>
        <w:t xml:space="preserve">第五章</w:t>
      </w:r>
      <w:r>
        <w:rPr>
          <w:rFonts w:hint="eastAsia" w:ascii="宋体" w:hAnsi="宋体" w:eastAsia="宋体" w:cs="宋体"/>
          <w:b/>
          <w:bCs/>
          <w:color w:val="auto"/>
          <w:sz w:val="36"/>
          <w:szCs w:val="36"/>
          <w:highlight w:val="none"/>
        </w:rPr>
        <w:t xml:space="preserve">评标方法与评标标准</w:t>
      </w:r>
      <w:r/>
    </w:p>
    <w:p>
      <w:pPr>
        <w:pStyle w:val="920"/>
        <w:ind w:firstLine="452"/>
        <w:keepLines w:val="0"/>
        <w:keepNext w:val="0"/>
        <w:spacing w:before="0" w:after="0" w:line="360" w:lineRule="auto"/>
        <w:rPr>
          <w:rFonts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第一部分评标方法</w:t>
      </w:r>
      <w:r/>
    </w:p>
    <w:p>
      <w:pPr>
        <w:pStyle w:val="1160"/>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60"/>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160"/>
        <w:spacing w:before="0" w:after="0"/>
        <w:rPr>
          <w:rStyle w:val="853"/>
          <w:rFonts w:ascii="宋体" w:hAnsi="宋体" w:eastAsia="宋体" w:cs="宋体"/>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投标文件满足招标文件全部实质性要求，且按照评审因素的量化指标评审得分最高、排名第一的供应商为该采购包的中标供应商。</w:t>
      </w:r>
      <w:r/>
    </w:p>
    <w:p>
      <w:pPr>
        <w:pStyle w:val="1160"/>
        <w:spacing w:before="0" w:after="0"/>
        <w:rPr>
          <w:rFonts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60"/>
        <w:ind w:firstLine="562"/>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小微型企业价格扣除：</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本项目专门面向中小企业）</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60"/>
        <w:numPr>
          <w:ilvl w:val="0"/>
          <w:numId w:val="12"/>
        </w:numPr>
        <w:ind w:firstLine="36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ind w:firstLine="560"/>
        <w:keepLines w:val="0"/>
        <w:keepNext w:val="0"/>
        <w:pageBreakBefore w:val="0"/>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u w:val="single"/>
        </w:rPr>
        <w:t xml:space="preserve">特别注意</w:t>
      </w:r>
      <w:r>
        <w:rPr>
          <w:rFonts w:hint="eastAsia" w:ascii="宋体" w:hAnsi="宋体"/>
          <w:b/>
          <w:color w:val="auto"/>
          <w:sz w:val="28"/>
          <w:szCs w:val="28"/>
          <w:highlight w:val="none"/>
          <w:u w:val="single"/>
          <w:lang w:eastAsia="zh-CN"/>
        </w:rPr>
        <w:t xml:space="preserve">：</w:t>
      </w:r>
      <w:r>
        <w:rPr>
          <w:rFonts w:hint="eastAsia" w:ascii="宋体" w:hAnsi="宋体"/>
          <w:b/>
          <w:color w:val="auto"/>
          <w:sz w:val="28"/>
          <w:szCs w:val="28"/>
          <w:highlight w:val="none"/>
          <w:u w:val="single"/>
        </w:rPr>
        <w:t xml:space="preserve">本项目采用暗标形式</w:t>
      </w:r>
      <w:r>
        <w:rPr>
          <w:rFonts w:hint="eastAsia" w:ascii="宋体" w:hAnsi="宋体"/>
          <w:b/>
          <w:color w:val="auto"/>
          <w:sz w:val="28"/>
          <w:szCs w:val="28"/>
          <w:highlight w:val="none"/>
          <w:u w:val="single"/>
          <w:lang w:eastAsia="zh-CN"/>
        </w:rPr>
        <w:t xml:space="preserve">，</w:t>
      </w:r>
      <w:r>
        <w:rPr>
          <w:rFonts w:hint="eastAsia" w:ascii="宋体" w:hAnsi="宋体"/>
          <w:b/>
          <w:color w:val="auto"/>
          <w:sz w:val="28"/>
          <w:szCs w:val="28"/>
          <w:highlight w:val="none"/>
          <w:u w:val="single"/>
        </w:rPr>
        <w:t xml:space="preserve">投标人须对商务部分和技术部分分别进行制作</w:t>
      </w:r>
      <w:r>
        <w:rPr>
          <w:rFonts w:hint="eastAsia" w:ascii="宋体" w:hAnsi="宋体"/>
          <w:b/>
          <w:color w:val="auto"/>
          <w:sz w:val="28"/>
          <w:szCs w:val="28"/>
          <w:highlight w:val="none"/>
          <w:u w:val="single"/>
          <w:lang w:eastAsia="zh-CN"/>
        </w:rPr>
        <w:t xml:space="preserve">。</w:t>
      </w:r>
      <w:r>
        <w:rPr>
          <w:rFonts w:hint="eastAsia" w:ascii="宋体" w:hAnsi="宋体"/>
          <w:b/>
          <w:color w:val="auto"/>
          <w:sz w:val="28"/>
          <w:szCs w:val="28"/>
          <w:highlight w:val="none"/>
          <w:u w:val="single"/>
        </w:rPr>
        <w:t xml:space="preserve">其中技术部分属于暗标</w:t>
      </w:r>
      <w:r>
        <w:rPr>
          <w:rFonts w:hint="eastAsia" w:ascii="宋体" w:hAnsi="宋体"/>
          <w:b/>
          <w:color w:val="auto"/>
          <w:sz w:val="28"/>
          <w:szCs w:val="28"/>
          <w:highlight w:val="none"/>
          <w:u w:val="single"/>
          <w:lang w:eastAsia="zh-CN"/>
        </w:rPr>
        <w:t xml:space="preserve">，</w:t>
      </w:r>
      <w:r>
        <w:rPr>
          <w:rFonts w:hint="eastAsia" w:ascii="宋体" w:hAnsi="宋体"/>
          <w:b/>
          <w:color w:val="auto"/>
          <w:sz w:val="28"/>
          <w:szCs w:val="28"/>
          <w:highlight w:val="none"/>
          <w:u w:val="single"/>
        </w:rPr>
        <w:t xml:space="preserve">投标人在制作技术部分相关内容时不得有体现投标人身份的内容</w:t>
      </w:r>
      <w:r>
        <w:rPr>
          <w:rFonts w:hint="eastAsia" w:ascii="宋体" w:hAnsi="宋体"/>
          <w:b/>
          <w:color w:val="auto"/>
          <w:sz w:val="28"/>
          <w:szCs w:val="28"/>
          <w:highlight w:val="none"/>
          <w:u w:val="single"/>
          <w:lang w:eastAsia="zh-CN"/>
        </w:rPr>
        <w:t xml:space="preserve">，</w:t>
      </w:r>
      <w:r>
        <w:rPr>
          <w:rFonts w:hint="eastAsia" w:ascii="宋体" w:hAnsi="宋体"/>
          <w:b/>
          <w:color w:val="auto"/>
          <w:sz w:val="28"/>
          <w:szCs w:val="28"/>
          <w:highlight w:val="none"/>
          <w:u w:val="single"/>
        </w:rPr>
        <w:t xml:space="preserve">否则投标无效</w:t>
      </w:r>
      <w:r>
        <w:rPr>
          <w:rFonts w:hint="eastAsia" w:ascii="宋体" w:hAnsi="宋体"/>
          <w:b/>
          <w:color w:val="auto"/>
          <w:sz w:val="28"/>
          <w:szCs w:val="28"/>
          <w:highlight w:val="none"/>
          <w:u w:val="singl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价格分</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商务标                                      </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b/>
          <w:color w:val="auto"/>
          <w:sz w:val="28"/>
          <w:szCs w:val="28"/>
          <w:highlight w:val="none"/>
          <w:u w:val="singl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、技术标                                      </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一、价格分（</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0分）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即满足采购文件要求且有效的</w:t>
      </w:r>
      <w:r>
        <w:rPr>
          <w:rFonts w:hint="eastAsia" w:ascii="宋体" w:hAnsi="宋体"/>
          <w:bCs/>
          <w:color w:val="auto"/>
          <w:sz w:val="24"/>
          <w:highlight w:val="none"/>
        </w:rPr>
        <w:t xml:space="preserve">报折扣率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折扣率=1-优惠率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最低的报价人的</w:t>
      </w:r>
      <w:r>
        <w:rPr>
          <w:rFonts w:hint="eastAsia" w:ascii="宋体" w:hAnsi="宋体"/>
          <w:bCs/>
          <w:color w:val="auto"/>
          <w:sz w:val="24"/>
          <w:highlight w:val="none"/>
          <w:lang w:val="en-US" w:eastAsia="zh-CN"/>
        </w:rPr>
        <w:t xml:space="preserve">优惠</w:t>
      </w:r>
      <w:r>
        <w:rPr>
          <w:rFonts w:hint="eastAsia" w:ascii="宋体" w:hAnsi="宋体"/>
          <w:bCs/>
          <w:color w:val="auto"/>
          <w:sz w:val="24"/>
          <w:highlight w:val="none"/>
        </w:rPr>
        <w:t xml:space="preserve">率</w:t>
      </w:r>
      <w:r>
        <w:rPr>
          <w:rFonts w:hint="eastAsia" w:ascii="宋体" w:hAnsi="宋体" w:eastAsia="宋体"/>
          <w:bCs/>
          <w:color w:val="auto"/>
          <w:sz w:val="24"/>
          <w:highlight w:val="none"/>
          <w:lang w:val="en-US" w:eastAsia="zh-CN"/>
        </w:rPr>
        <w:t xml:space="preserve">为</w:t>
      </w:r>
      <w:r>
        <w:rPr>
          <w:rFonts w:hint="eastAsia" w:ascii="宋体" w:hAnsi="宋体" w:eastAsia="宋体" w:cs="宋体"/>
          <w:color w:val="auto"/>
          <w:sz w:val="24"/>
          <w:szCs w:val="24"/>
          <w:highlight w:val="none"/>
        </w:rPr>
        <w:t xml:space="preserve">评标基准价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的价格分统一按照下列公式计算：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评标基准价）／（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投标报价）×价格权值×100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结果保留两位小数</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rPr>
        <w:outlineLvl w:val="0"/>
      </w:pPr>
      <w:r>
        <w:rPr>
          <w:rFonts w:hint="eastAsia" w:hAnsi="宋体" w:eastAsia="宋体" w:cs="宋体"/>
          <w:b/>
          <w:color w:val="auto"/>
          <w:sz w:val="24"/>
          <w:szCs w:val="24"/>
          <w:highlight w:val="none"/>
        </w:rPr>
        <w:t xml:space="preserve">二、商务标部分（</w:t>
      </w:r>
      <w:r>
        <w:rPr>
          <w:rFonts w:hint="eastAsia" w:hAnsi="宋体" w:eastAsia="宋体" w:cs="宋体"/>
          <w:b/>
          <w:color w:val="auto"/>
          <w:sz w:val="24"/>
          <w:szCs w:val="24"/>
          <w:highlight w:val="none"/>
          <w:lang w:val="en-US" w:eastAsia="zh-CN"/>
        </w:rPr>
        <w:t xml:space="preserve">20</w:t>
      </w:r>
      <w:r>
        <w:rPr>
          <w:rFonts w:hint="eastAsia" w:hAnsi="宋体" w:eastAsia="宋体" w:cs="宋体"/>
          <w:b/>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（1）业绩（4分）</w:t>
      </w:r>
      <w:r/>
    </w:p>
    <w:p>
      <w:pPr>
        <w:ind w:firstLine="480"/>
        <w:keepLines w:val="0"/>
        <w:keepNext w:val="0"/>
        <w:pageBreakBefore w:val="0"/>
        <w:spacing w:line="360" w:lineRule="auto"/>
        <w:widowControl w:val="off"/>
        <w:rPr>
          <w:rFonts w:hint="eastAsia" w:ascii="宋体"/>
          <w:b w:val="0"/>
          <w:bCs w:val="0"/>
          <w:color w:val="auto"/>
          <w:sz w:val="24"/>
          <w:highlight w:val="none"/>
        </w:rPr>
      </w:pPr>
      <w:r>
        <w:rPr>
          <w:rFonts w:hint="eastAsia" w:ascii="宋体" w:hAnsi="宋体" w:eastAsia="宋体" w:cs="宋体"/>
          <w:b w:val="0"/>
          <w:bCs w:val="0"/>
          <w:color w:val="auto"/>
          <w:sz w:val="24"/>
          <w:szCs w:val="24"/>
          <w:highlight w:val="none"/>
          <w:lang w:val="en-US" w:eastAsia="zh-CN"/>
        </w:rPr>
        <w:t xml:space="preserve">提供自2023年1月1日以来（以签订合同时间为准）承担过医疗机构类似项目业绩（如：中药饮片供应、中药代加工服务等），有一个得2分，最高得4分。提供业绩合同，供货发票</w:t>
      </w:r>
      <w:r>
        <w:rPr>
          <w:rFonts w:hint="eastAsia" w:ascii="宋体" w:hAnsi="宋体" w:eastAsia="宋体" w:cs="宋体"/>
          <w:color w:val="auto"/>
          <w:sz w:val="24"/>
          <w:szCs w:val="24"/>
          <w:highlight w:val="none"/>
        </w:rPr>
        <w:t xml:space="preserve">原件</w:t>
      </w:r>
      <w:r>
        <w:rPr>
          <w:rFonts w:hint="eastAsia" w:ascii="宋体" w:hAnsi="宋体" w:eastAsia="宋体" w:cs="宋体"/>
          <w:color w:val="auto"/>
          <w:sz w:val="24"/>
          <w:szCs w:val="24"/>
          <w:highlight w:val="none"/>
          <w:lang w:val="en-US" w:eastAsia="zh-CN"/>
        </w:rPr>
        <w:t xml:space="preserve">扫描件上传系统并签章</w:t>
      </w:r>
      <w:r>
        <w:rPr>
          <w:rFonts w:hint="eastAsia" w:ascii="宋体"/>
          <w:b w:val="0"/>
          <w:bCs w:val="0"/>
          <w:color w:val="auto"/>
          <w:sz w:val="24"/>
          <w:highlight w:val="none"/>
        </w:rPr>
        <w:t xml:space="preserve">，不提供或提供不符合要求均不得分。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（2）供应保障能力（2分）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rPr>
        <w:t xml:space="preserve">投标供应商销售的饮片品种及规格在能100%覆盖采购人在用</w:t>
      </w:r>
      <w:bookmarkStart w:id="144" w:name="OLE_LINK4"/>
      <w:r/>
      <w:bookmarkStart w:id="145" w:name="OLE_LINK3"/>
      <w:r>
        <w:rPr>
          <w:rFonts w:hint="eastAsia" w:ascii="宋体" w:hAnsi="宋体" w:eastAsia="宋体" w:cs="宋体"/>
          <w:color w:val="auto"/>
          <w:sz w:val="24"/>
          <w:highlight w:val="none"/>
          <w:lang w:val="en-US" w:eastAsia="zh-CN"/>
        </w:rPr>
        <w:t xml:space="preserve">510</w:t>
      </w:r>
      <w:r>
        <w:rPr>
          <w:rFonts w:hint="eastAsia" w:ascii="宋体" w:hAnsi="宋体" w:cs="宋体"/>
          <w:color w:val="auto"/>
          <w:sz w:val="24"/>
          <w:highlight w:val="none"/>
        </w:rPr>
        <w:t xml:space="preserve">个</w:t>
      </w:r>
      <w:bookmarkEnd w:id="144"/>
      <w:r/>
      <w:bookmarkEnd w:id="145"/>
      <w:r>
        <w:rPr>
          <w:rFonts w:hint="eastAsia" w:ascii="宋体" w:hAnsi="宋体" w:cs="宋体"/>
          <w:color w:val="auto"/>
          <w:sz w:val="24"/>
          <w:highlight w:val="none"/>
        </w:rPr>
        <w:t xml:space="preserve">品种的基础上</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销售的饮片品种在 600 种（含）-800 种得1分；在800 种（含）以上的得2分，本项最高得2分。需提供销售的饮片品种目录清单的生产或经营记录</w:t>
      </w:r>
      <w:r>
        <w:rPr>
          <w:rFonts w:hint="eastAsia" w:ascii="宋体" w:hAnsi="宋体" w:eastAsia="宋体" w:cs="宋体"/>
          <w:color w:val="auto"/>
          <w:sz w:val="24"/>
          <w:szCs w:val="24"/>
          <w:highlight w:val="none"/>
          <w:lang w:val="en-US" w:eastAsia="zh-CN"/>
        </w:rPr>
        <w:t xml:space="preserve">扫描件上传系统并签章</w:t>
      </w:r>
      <w:r>
        <w:rPr>
          <w:rFonts w:hint="eastAsia" w:ascii="宋体"/>
          <w:b w:val="0"/>
          <w:bCs w:val="0"/>
          <w:color w:val="auto"/>
          <w:sz w:val="24"/>
          <w:highlight w:val="none"/>
        </w:rPr>
        <w:t xml:space="preserve">，不提供或提供不符合要求均不得分。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（3）人员配备（4分）</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投标供应商为本项目配备中药师（含以上）或执业中药师有1人得1分，满分4分，需提供</w:t>
      </w:r>
      <w:r>
        <w:rPr>
          <w:rFonts w:hint="eastAsia" w:ascii="宋体" w:hAnsi="宋体" w:cs="宋体"/>
          <w:b w:val="0"/>
          <w:bCs w:val="0"/>
          <w:color w:val="auto"/>
          <w:sz w:val="24"/>
          <w:szCs w:val="24"/>
          <w:highlight w:val="none"/>
          <w:lang w:val="en-US" w:eastAsia="zh-CN"/>
        </w:rPr>
        <w:t xml:space="preserve">药师职称证书或</w:t>
      </w:r>
      <w:r>
        <w:rPr>
          <w:rFonts w:hint="eastAsia" w:ascii="宋体" w:hAnsi="宋体" w:eastAsia="宋体" w:cs="宋体"/>
          <w:b w:val="0"/>
          <w:bCs w:val="0"/>
          <w:color w:val="auto"/>
          <w:sz w:val="24"/>
          <w:szCs w:val="24"/>
          <w:highlight w:val="none"/>
          <w:lang w:val="en-US" w:eastAsia="zh-CN"/>
        </w:rPr>
        <w:t xml:space="preserve">药师执业资格证</w:t>
      </w:r>
      <w:r>
        <w:rPr>
          <w:rFonts w:hint="eastAsia" w:ascii="宋体" w:hAnsi="宋体" w:cs="宋体"/>
          <w:b w:val="0"/>
          <w:bCs w:val="0"/>
          <w:color w:val="auto"/>
          <w:sz w:val="24"/>
          <w:szCs w:val="24"/>
          <w:highlight w:val="none"/>
          <w:lang w:val="en-US" w:eastAsia="zh-CN"/>
        </w:rPr>
        <w:t xml:space="preserve">书</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投标供应商为其</w:t>
      </w:r>
      <w:r>
        <w:rPr>
          <w:rFonts w:hint="eastAsia" w:ascii="宋体" w:hAnsi="宋体" w:cs="宋体"/>
          <w:bCs/>
          <w:color w:val="auto"/>
          <w:sz w:val="24"/>
          <w:szCs w:val="24"/>
          <w:highlight w:val="none"/>
          <w:lang w:val="en-US" w:eastAsia="zh-CN"/>
        </w:rPr>
        <w:t xml:space="preserve">缴纳</w:t>
      </w:r>
      <w:r>
        <w:rPr>
          <w:rFonts w:hint="eastAsia" w:ascii="宋体" w:hAnsi="宋体" w:eastAsia="宋体" w:cs="宋体"/>
          <w:bCs/>
          <w:color w:val="auto"/>
          <w:sz w:val="24"/>
          <w:szCs w:val="24"/>
          <w:highlight w:val="none"/>
        </w:rPr>
        <w:t xml:space="preserve">的近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的社保缴费证明</w:t>
      </w:r>
      <w:r>
        <w:rPr>
          <w:rFonts w:hint="eastAsia" w:ascii="宋体" w:hAnsi="宋体" w:eastAsia="宋体" w:cs="宋体"/>
          <w:bCs/>
          <w:color w:val="auto"/>
          <w:sz w:val="24"/>
          <w:szCs w:val="24"/>
          <w:highlight w:val="none"/>
          <w:lang w:val="en-US" w:eastAsia="zh-CN"/>
        </w:rPr>
        <w:t xml:space="preserve">或劳动合同或退休返聘合同等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上述材料扫描件上传系统并签章，不提供或提供不符合要求均不得分。</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color w:val="auto"/>
          <w:sz w:val="24"/>
          <w:highlight w:val="none"/>
        </w:rPr>
        <w:t xml:space="preserve">仓储条件</w:t>
      </w:r>
      <w:r>
        <w:rPr>
          <w:rFonts w:hint="eastAsia" w:ascii="宋体" w:hAnsi="宋体" w:cs="宋体"/>
          <w:color w:val="auto"/>
          <w:sz w:val="24"/>
          <w:highlight w:val="none"/>
        </w:rPr>
        <w:t xml:space="preserve">承诺（</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分）：投标供应商</w:t>
      </w:r>
      <w:r>
        <w:rPr>
          <w:rFonts w:hint="eastAsia"/>
          <w:color w:val="auto"/>
          <w:sz w:val="24"/>
          <w:highlight w:val="none"/>
        </w:rPr>
        <w:t xml:space="preserve">应有保障药品质量安全的仓储条件，配备独</w:t>
      </w:r>
      <w:r>
        <w:rPr>
          <w:rFonts w:hint="eastAsia" w:ascii="宋体" w:hAnsi="宋体" w:cs="宋体"/>
          <w:color w:val="auto"/>
          <w:sz w:val="24"/>
          <w:highlight w:val="none"/>
        </w:rPr>
        <w:t xml:space="preserve">立仓库的得</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分（提供仓库实地照片、房产证或租赁合同原件扫描件上传系统并签章；也可承诺在项目中标后签订合同前为本项目配备独立仓库的承诺书，格式</w:t>
      </w:r>
      <w:r>
        <w:rPr>
          <w:rFonts w:hint="eastAsia" w:hAnsi="宋体" w:cs="宋体"/>
          <w:bCs/>
          <w:color w:val="auto"/>
          <w:sz w:val="24"/>
          <w:highlight w:val="none"/>
        </w:rPr>
        <w:t xml:space="preserve">自拟）</w:t>
      </w:r>
      <w:r>
        <w:rPr>
          <w:rFonts w:hint="eastAsia" w:ascii="宋体" w:hAnsi="宋体" w:cs="宋体"/>
          <w:color w:val="auto"/>
          <w:sz w:val="24"/>
          <w:highlight w:val="none"/>
        </w:rPr>
        <w:t xml:space="preserve">。不提供或提供不符合要求均不得分。</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rPr>
        <w:t xml:space="preserve">留样区（</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分）：投标供应商应配置留样区域：a.饮片留样区，代配饮片留样满1月得</w:t>
      </w:r>
      <w:r>
        <w:rPr>
          <w:rFonts w:hint="eastAsia" w:ascii="宋体" w:hAnsi="宋体" w:eastAsia="宋体" w:cs="宋体"/>
          <w:color w:val="auto"/>
          <w:sz w:val="24"/>
          <w:highlight w:val="none"/>
          <w:lang w:val="en-US" w:eastAsia="zh-CN"/>
        </w:rPr>
        <w:t xml:space="preserve">0.5</w:t>
      </w:r>
      <w:r>
        <w:rPr>
          <w:rFonts w:hint="eastAsia" w:ascii="宋体" w:hAnsi="宋体" w:cs="宋体"/>
          <w:color w:val="auto"/>
          <w:sz w:val="24"/>
          <w:highlight w:val="none"/>
        </w:rPr>
        <w:t xml:space="preserve">分；b.代煎产品留样区，代煎产品留样满1月得</w:t>
      </w:r>
      <w:r>
        <w:rPr>
          <w:rFonts w:hint="eastAsia" w:ascii="宋体" w:hAnsi="宋体" w:eastAsia="宋体" w:cs="宋体"/>
          <w:color w:val="auto"/>
          <w:sz w:val="24"/>
          <w:highlight w:val="none"/>
          <w:lang w:val="en-US" w:eastAsia="zh-CN"/>
        </w:rPr>
        <w:t xml:space="preserve">0.5</w:t>
      </w:r>
      <w:r>
        <w:rPr>
          <w:rFonts w:hint="eastAsia" w:ascii="宋体" w:hAnsi="宋体" w:cs="宋体"/>
          <w:color w:val="auto"/>
          <w:sz w:val="24"/>
          <w:highlight w:val="none"/>
        </w:rPr>
        <w:t xml:space="preserve">分。（提供留样区照片及相关证明材料原件扫描件上传系统并签章，未提供或提供不符合要求均不得分）。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（6）应急对接时间（2分）</w:t>
      </w:r>
      <w:r/>
    </w:p>
    <w:p>
      <w:pPr>
        <w:ind w:firstLine="480"/>
        <w:spacing w:line="360" w:lineRule="auto"/>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rPr>
        <w:t xml:space="preserve">一般问题如未能按时送达、顾客服务性投诉的，响应时间不超过半小时，配送药品出现质量问题，应在接到通知后2小时内响应到场，</w:t>
      </w:r>
      <w:r>
        <w:rPr>
          <w:rFonts w:hint="eastAsia" w:ascii="宋体" w:hAnsi="宋体" w:eastAsia="宋体" w:cs="宋体"/>
          <w:b w:val="0"/>
          <w:bCs w:val="0"/>
          <w:color w:val="auto"/>
          <w:sz w:val="24"/>
          <w:szCs w:val="24"/>
          <w:highlight w:val="none"/>
          <w:lang w:val="en-US" w:eastAsia="zh-CN"/>
        </w:rPr>
        <w:t xml:space="preserve">24 小时内完成退换，并处理（或协助采购人处理）好因质量问题和服务不当引起的投诉、纠纷得0.5分；在接到通知后1.5小时内响应到场，24小时内完成退换，并处理（或协助采购人处理）好因质量问题和服务不当引起的投诉、纠纷得1分；在接到通知后 1 小时内响应到场，24小时内完成退换，并处理（或协助采购人处理）好因质量问题和服务不当引起的投诉、纠纷得2分；提供承诺书，承诺内容包含但不限于本项内容（承诺书格式自拟），同时还需在承诺时间到达地点（无锡市梁溪区芦庄一区17-4号）的证明材料如电子地图截图等，两者缺一不可，</w:t>
      </w:r>
      <w:r>
        <w:rPr>
          <w:rFonts w:hint="eastAsia" w:ascii="宋体" w:hAnsi="宋体" w:cs="宋体"/>
          <w:color w:val="auto"/>
          <w:sz w:val="24"/>
          <w:highlight w:val="none"/>
        </w:rPr>
        <w:t xml:space="preserve">不提供或提供不符合要求均不得分。</w:t>
      </w:r>
      <w:r/>
    </w:p>
    <w:p>
      <w:pPr>
        <w:pStyle w:val="739"/>
        <w:numPr>
          <w:ilvl w:val="0"/>
          <w:numId w:val="0"/>
        </w:num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（7）设备条件（4分</w:t>
      </w:r>
      <w:r>
        <w:rPr>
          <w:rFonts w:hint="eastAsia"/>
          <w:color w:val="auto"/>
          <w:sz w:val="24"/>
          <w:szCs w:val="24"/>
          <w:highlight w:val="none"/>
          <w:lang w:val="en-US" w:eastAsia="zh-CN"/>
        </w:rPr>
        <w:t xml:space="preserve">）</w:t>
      </w:r>
      <w:r/>
    </w:p>
    <w:p>
      <w:pPr>
        <w:pStyle w:val="739"/>
        <w:numPr>
          <w:ilvl w:val="0"/>
          <w:numId w:val="0"/>
        </w:numPr>
        <w:ind w:firstLine="480"/>
        <w:keepLines w:val="0"/>
        <w:keepNext w:val="0"/>
        <w:pageBreakBefore w:val="0"/>
        <w:spacing w:line="360" w:lineRule="auto"/>
        <w:widowControl w:val="off"/>
        <w:rPr>
          <w:rFonts w:hint="eastAsia" w:hAnsi="Times New Roman" w:cs="Times New Roman"/>
          <w:color w:val="auto"/>
          <w:sz w:val="24"/>
          <w:szCs w:val="24"/>
          <w:highlight w:val="none"/>
          <w:lang w:val="en-US" w:eastAsia="zh-CN"/>
        </w:rPr>
      </w:pPr>
      <w:r>
        <w:rPr>
          <w:rFonts w:hint="default"/>
          <w:color w:val="auto"/>
          <w:sz w:val="24"/>
          <w:szCs w:val="24"/>
          <w:highlight w:val="none"/>
          <w:lang w:val="en-US" w:eastAsia="zh-CN"/>
        </w:rPr>
        <w:t xml:space="preserve">投标单位拥有独立的质量检验中心</w:t>
      </w:r>
      <w:r>
        <w:rPr>
          <w:rFonts w:hint="eastAsia"/>
          <w:color w:val="auto"/>
          <w:sz w:val="24"/>
          <w:szCs w:val="24"/>
          <w:highlight w:val="none"/>
          <w:lang w:val="en-US" w:eastAsia="zh-CN"/>
        </w:rPr>
        <w:t xml:space="preserve">的</w:t>
      </w:r>
      <w:r>
        <w:rPr>
          <w:rFonts w:hint="default"/>
          <w:color w:val="auto"/>
          <w:sz w:val="24"/>
          <w:szCs w:val="24"/>
          <w:highlight w:val="none"/>
          <w:lang w:val="en-US" w:eastAsia="zh-CN"/>
        </w:rPr>
        <w:t xml:space="preserve">，</w:t>
      </w:r>
      <w:r>
        <w:rPr>
          <w:rFonts w:hint="eastAsia"/>
          <w:color w:val="auto"/>
          <w:sz w:val="24"/>
          <w:szCs w:val="24"/>
          <w:highlight w:val="none"/>
          <w:lang w:val="en-US" w:eastAsia="zh-CN"/>
        </w:rPr>
        <w:t xml:space="preserve">提供相应证明材料得1.5</w:t>
      </w:r>
      <w:r>
        <w:rPr>
          <w:rFonts w:hint="eastAsia"/>
          <w:color w:val="auto"/>
          <w:sz w:val="24"/>
          <w:szCs w:val="24"/>
          <w:highlight w:val="none"/>
          <w:lang w:val="en-US" w:eastAsia="zh-CN"/>
        </w:rPr>
        <w:t xml:space="preserve">分。投标供应商</w:t>
      </w:r>
      <w:r>
        <w:rPr>
          <w:rFonts w:hint="default"/>
          <w:color w:val="auto"/>
          <w:sz w:val="24"/>
          <w:szCs w:val="24"/>
          <w:highlight w:val="none"/>
          <w:lang w:val="en-US" w:eastAsia="zh-CN"/>
        </w:rPr>
        <w:t xml:space="preserve">配备相对应的质检设备：高效液相色谱仪，三重四极杆液质联用仪、三重四级杆气质联用仪</w:t>
      </w:r>
      <w:r>
        <w:rPr>
          <w:rFonts w:hint="default"/>
          <w:color w:val="auto"/>
          <w:sz w:val="24"/>
          <w:szCs w:val="24"/>
          <w:highlight w:val="none"/>
          <w:lang w:val="en-US" w:eastAsia="zh-CN"/>
        </w:rPr>
        <w:t xml:space="preserve">，紫外可见分光光度</w:t>
      </w:r>
      <w:r>
        <w:rPr>
          <w:rFonts w:hint="default" w:hAnsi="Times New Roman" w:cs="Times New Roman"/>
          <w:color w:val="auto"/>
          <w:sz w:val="24"/>
          <w:szCs w:val="24"/>
          <w:highlight w:val="none"/>
          <w:lang w:val="en-US" w:eastAsia="zh-CN"/>
        </w:rPr>
        <w:t xml:space="preserve">计，普析原子吸收分光光度计</w:t>
      </w:r>
      <w:r>
        <w:rPr>
          <w:rFonts w:hint="eastAsia" w:hAnsi="Times New Roman" w:cs="Times New Roman"/>
          <w:color w:val="auto"/>
          <w:sz w:val="24"/>
          <w:szCs w:val="24"/>
          <w:highlight w:val="none"/>
          <w:lang w:val="en-US" w:eastAsia="zh-CN"/>
        </w:rPr>
        <w:t xml:space="preserve">，有一样得0.5分，最高得</w:t>
      </w:r>
      <w:r>
        <w:rPr>
          <w:rFonts w:hint="eastAsia" w:cs="Times New Roman"/>
          <w:color w:val="auto"/>
          <w:sz w:val="24"/>
          <w:szCs w:val="24"/>
          <w:highlight w:val="none"/>
          <w:lang w:val="en-US" w:eastAsia="zh-CN"/>
        </w:rPr>
        <w:t xml:space="preserve">2.5</w:t>
      </w:r>
      <w:r>
        <w:rPr>
          <w:rFonts w:hint="eastAsia" w:hAnsi="Times New Roman" w:cs="Times New Roman"/>
          <w:color w:val="auto"/>
          <w:sz w:val="24"/>
          <w:szCs w:val="24"/>
          <w:highlight w:val="none"/>
          <w:lang w:val="en-US" w:eastAsia="zh-CN"/>
        </w:rPr>
        <w:t xml:space="preserve">分。设备如为自有的，需提供设备真实有效的购买发票原件扫描件上传系统并签章；如为租赁的，需提供</w:t>
      </w:r>
      <w:r>
        <w:rPr>
          <w:rFonts w:hint="default" w:hAnsi="Times New Roman" w:cs="Times New Roman"/>
          <w:color w:val="auto"/>
          <w:sz w:val="24"/>
          <w:szCs w:val="24"/>
          <w:highlight w:val="none"/>
          <w:lang w:val="en-US" w:eastAsia="zh-CN"/>
        </w:rPr>
        <w:t xml:space="preserve">出租方购买设备的原始发票</w:t>
      </w:r>
      <w:r>
        <w:rPr>
          <w:rFonts w:hint="eastAsia" w:hAnsi="Times New Roman" w:cs="Times New Roman"/>
          <w:color w:val="auto"/>
          <w:sz w:val="24"/>
          <w:szCs w:val="24"/>
          <w:highlight w:val="none"/>
          <w:lang w:val="en-US" w:eastAsia="zh-CN"/>
        </w:rPr>
        <w:t xml:space="preserve">（</w:t>
      </w:r>
      <w:r>
        <w:rPr>
          <w:rFonts w:hint="default" w:hAnsi="Times New Roman" w:cs="Times New Roman"/>
          <w:color w:val="auto"/>
          <w:sz w:val="24"/>
          <w:szCs w:val="24"/>
          <w:highlight w:val="none"/>
          <w:lang w:val="en-US" w:eastAsia="zh-CN"/>
        </w:rPr>
        <w:t xml:space="preserve">设备购买方和出租方名称一致</w:t>
      </w:r>
      <w:r>
        <w:rPr>
          <w:rFonts w:hint="eastAsia" w:hAnsi="Times New Roman" w:cs="Times New Roman"/>
          <w:color w:val="auto"/>
          <w:sz w:val="24"/>
          <w:szCs w:val="24"/>
          <w:highlight w:val="none"/>
          <w:lang w:val="en-US" w:eastAsia="zh-CN"/>
        </w:rPr>
        <w:t xml:space="preserve">）及</w:t>
      </w:r>
      <w:r>
        <w:rPr>
          <w:rFonts w:hint="default" w:hAnsi="Times New Roman" w:cs="Times New Roman"/>
          <w:color w:val="auto"/>
          <w:sz w:val="24"/>
          <w:szCs w:val="24"/>
          <w:highlight w:val="none"/>
          <w:lang w:val="en-US" w:eastAsia="zh-CN"/>
        </w:rPr>
        <w:t xml:space="preserve">租赁合同</w:t>
      </w:r>
      <w:r>
        <w:rPr>
          <w:rFonts w:hint="eastAsia" w:hAnsi="Times New Roman" w:cs="Times New Roman"/>
          <w:color w:val="auto"/>
          <w:sz w:val="24"/>
          <w:szCs w:val="24"/>
          <w:highlight w:val="none"/>
          <w:lang w:val="en-US" w:eastAsia="zh-CN"/>
        </w:rPr>
        <w:t xml:space="preserve">（</w:t>
      </w:r>
      <w:r>
        <w:rPr>
          <w:rFonts w:hint="default" w:hAnsi="Times New Roman" w:cs="Times New Roman"/>
          <w:color w:val="auto"/>
          <w:sz w:val="24"/>
          <w:szCs w:val="24"/>
          <w:highlight w:val="none"/>
          <w:lang w:val="en-US" w:eastAsia="zh-CN"/>
        </w:rPr>
        <w:t xml:space="preserve">租赁期涵盖服务期</w:t>
      </w:r>
      <w:r>
        <w:rPr>
          <w:rFonts w:hint="eastAsia" w:hAnsi="Times New Roman" w:cs="Times New Roman"/>
          <w:color w:val="auto"/>
          <w:sz w:val="24"/>
          <w:szCs w:val="24"/>
          <w:highlight w:val="none"/>
          <w:lang w:val="en-US" w:eastAsia="zh-CN"/>
        </w:rPr>
        <w:t xml:space="preserve">）原件扫描件上传系统并签章。</w:t>
      </w:r>
      <w:r/>
    </w:p>
    <w:p>
      <w:pPr>
        <w:pStyle w:val="739"/>
        <w:numPr>
          <w:ilvl w:val="0"/>
          <w:numId w:val="0"/>
        </w:numPr>
        <w:keepLines w:val="0"/>
        <w:keepNext w:val="0"/>
        <w:pageBreakBefore w:val="0"/>
        <w:spacing w:line="360" w:lineRule="auto"/>
        <w:widowControl w:val="off"/>
        <w:rPr>
          <w:rFonts w:hint="default"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（8）</w:t>
      </w:r>
      <w:r>
        <w:rPr>
          <w:rFonts w:hint="default" w:hAnsi="Times New Roman" w:cs="Times New Roman"/>
          <w:color w:val="auto"/>
          <w:sz w:val="24"/>
          <w:szCs w:val="24"/>
          <w:highlight w:val="none"/>
          <w:lang w:val="en-US" w:eastAsia="zh-CN"/>
        </w:rPr>
        <w:t xml:space="preserve">投标供应商及饮片生产企业质量抽检(</w:t>
      </w:r>
      <w:r>
        <w:rPr>
          <w:rFonts w:hint="eastAsia" w:cs="Times New Roman"/>
          <w:color w:val="auto"/>
          <w:sz w:val="24"/>
          <w:szCs w:val="24"/>
          <w:highlight w:val="none"/>
          <w:lang w:val="en-US" w:eastAsia="zh-CN"/>
        </w:rPr>
        <w:t xml:space="preserve">2</w:t>
      </w:r>
      <w:r>
        <w:rPr>
          <w:rFonts w:hint="default" w:hAnsi="Times New Roman" w:cs="Times New Roman"/>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default" w:hAnsi="Times New Roman" w:cs="Times New Roman"/>
          <w:color w:val="auto"/>
          <w:sz w:val="24"/>
          <w:szCs w:val="24"/>
          <w:highlight w:val="none"/>
          <w:lang w:val="en-US" w:eastAsia="zh-CN"/>
        </w:rPr>
        <w:outlineLvl w:val="0"/>
      </w:pPr>
      <w:r>
        <w:rPr>
          <w:rFonts w:hint="default" w:hAnsi="Times New Roman" w:cs="Times New Roman"/>
          <w:color w:val="auto"/>
          <w:sz w:val="24"/>
          <w:szCs w:val="24"/>
          <w:highlight w:val="none"/>
          <w:lang w:val="en-US" w:eastAsia="zh-CN"/>
        </w:rPr>
        <w:t xml:space="preserve">2023年-2025年国家药</w:t>
      </w:r>
      <w:r>
        <w:rPr>
          <w:rFonts w:hint="eastAsia" w:hAnsi="Times New Roman" w:cs="Times New Roman"/>
          <w:color w:val="auto"/>
          <w:sz w:val="24"/>
          <w:szCs w:val="24"/>
          <w:highlight w:val="none"/>
          <w:lang w:val="en-US" w:eastAsia="zh-CN"/>
        </w:rPr>
        <w:t xml:space="preserve">品监督管理局</w:t>
      </w:r>
      <w:r>
        <w:rPr>
          <w:rFonts w:hint="default" w:hAnsi="Times New Roman" w:cs="Times New Roman"/>
          <w:color w:val="auto"/>
          <w:sz w:val="24"/>
          <w:szCs w:val="24"/>
          <w:highlight w:val="none"/>
          <w:lang w:val="en-US" w:eastAsia="zh-CN"/>
        </w:rPr>
        <w:t xml:space="preserve">官网</w:t>
      </w:r>
      <w:r>
        <w:rPr>
          <w:rFonts w:hint="eastAsia" w:hAnsi="Times New Roman" w:cs="Times New Roman"/>
          <w:color w:val="auto"/>
          <w:sz w:val="24"/>
          <w:szCs w:val="24"/>
          <w:highlight w:val="none"/>
          <w:lang w:val="en-US" w:eastAsia="zh-CN"/>
        </w:rPr>
        <w:t xml:space="preserve">、江苏省</w:t>
      </w:r>
      <w:r>
        <w:rPr>
          <w:rFonts w:hint="default" w:hAnsi="Times New Roman" w:cs="Times New Roman"/>
          <w:color w:val="auto"/>
          <w:sz w:val="24"/>
          <w:szCs w:val="24"/>
          <w:highlight w:val="none"/>
          <w:lang w:val="en-US" w:eastAsia="zh-CN"/>
        </w:rPr>
        <w:t xml:space="preserve">药</w:t>
      </w:r>
      <w:r>
        <w:rPr>
          <w:rFonts w:hint="eastAsia" w:hAnsi="Times New Roman" w:cs="Times New Roman"/>
          <w:color w:val="auto"/>
          <w:sz w:val="24"/>
          <w:szCs w:val="24"/>
          <w:highlight w:val="none"/>
          <w:lang w:val="en-US" w:eastAsia="zh-CN"/>
        </w:rPr>
        <w:t xml:space="preserve">品监督管理局</w:t>
      </w:r>
      <w:r>
        <w:rPr>
          <w:rFonts w:hint="default" w:hAnsi="Times New Roman" w:cs="Times New Roman"/>
          <w:color w:val="auto"/>
          <w:sz w:val="24"/>
          <w:szCs w:val="24"/>
          <w:highlight w:val="none"/>
          <w:lang w:val="en-US" w:eastAsia="zh-CN"/>
        </w:rPr>
        <w:t xml:space="preserve">官网</w:t>
      </w:r>
      <w:r>
        <w:rPr>
          <w:rFonts w:hint="default" w:hAnsi="Times New Roman" w:cs="Times New Roman"/>
          <w:color w:val="auto"/>
          <w:sz w:val="24"/>
          <w:szCs w:val="24"/>
          <w:highlight w:val="none"/>
          <w:lang w:val="en-US" w:eastAsia="zh-CN"/>
        </w:rPr>
        <w:t xml:space="preserve">质量公告上榜条数(关于药品不符合规定的通告查询地址:</w:t>
      </w:r>
      <w:r>
        <w:rPr>
          <w:rFonts w:hint="eastAsia" w:hAnsi="Times New Roman" w:cs="Times New Roman"/>
          <w:color w:val="auto"/>
          <w:sz w:val="24"/>
          <w:szCs w:val="24"/>
          <w:highlight w:val="none"/>
          <w:lang w:val="en-US" w:eastAsia="zh-CN"/>
        </w:rPr>
        <w:t xml:space="preserve">1.</w:t>
      </w:r>
      <w:r>
        <w:rPr>
          <w:rFonts w:hint="default" w:hAnsi="Times New Roman" w:cs="Times New Roman"/>
          <w:color w:val="auto"/>
          <w:sz w:val="24"/>
          <w:szCs w:val="24"/>
          <w:highlight w:val="none"/>
          <w:lang w:val="en-US" w:eastAsia="zh-CN"/>
        </w:rPr>
        <w:t xml:space="preserve">国家药</w:t>
      </w:r>
      <w:r>
        <w:rPr>
          <w:rFonts w:hint="eastAsia" w:hAnsi="Times New Roman" w:cs="Times New Roman"/>
          <w:color w:val="auto"/>
          <w:sz w:val="24"/>
          <w:szCs w:val="24"/>
          <w:highlight w:val="none"/>
          <w:lang w:val="en-US" w:eastAsia="zh-CN"/>
        </w:rPr>
        <w:t xml:space="preserve">品监督管理局</w:t>
      </w:r>
      <w:r>
        <w:rPr>
          <w:rFonts w:hint="default" w:hAnsi="Times New Roman" w:cs="Times New Roman"/>
          <w:color w:val="auto"/>
          <w:sz w:val="24"/>
          <w:szCs w:val="24"/>
          <w:highlight w:val="none"/>
          <w:lang w:val="en-US" w:eastAsia="zh-CN"/>
        </w:rPr>
        <w:t xml:space="preserve">网址为:https://www.nmpa.gov.cn/xxgk/ggtg/ypggtg/ypchj/index.html</w:t>
      </w:r>
      <w:r>
        <w:rPr>
          <w:rFonts w:hint="eastAsia" w:hAnsi="Times New Roman" w:cs="Times New Roman"/>
          <w:color w:val="auto"/>
          <w:sz w:val="24"/>
          <w:szCs w:val="24"/>
          <w:highlight w:val="none"/>
          <w:lang w:val="en-US" w:eastAsia="zh-CN"/>
        </w:rPr>
        <w:t xml:space="preserve">。2.江苏省</w:t>
      </w:r>
      <w:r>
        <w:rPr>
          <w:rFonts w:hint="default" w:hAnsi="Times New Roman" w:cs="Times New Roman"/>
          <w:color w:val="auto"/>
          <w:sz w:val="24"/>
          <w:szCs w:val="24"/>
          <w:highlight w:val="none"/>
          <w:lang w:val="en-US" w:eastAsia="zh-CN"/>
        </w:rPr>
        <w:t xml:space="preserve">药</w:t>
      </w:r>
      <w:r>
        <w:rPr>
          <w:rFonts w:hint="eastAsia" w:hAnsi="Times New Roman" w:cs="Times New Roman"/>
          <w:color w:val="auto"/>
          <w:sz w:val="24"/>
          <w:szCs w:val="24"/>
          <w:highlight w:val="none"/>
          <w:lang w:val="en-US" w:eastAsia="zh-CN"/>
        </w:rPr>
        <w:t xml:space="preserve">品监督管理局网址为：https://da.jiangsu.gov.cn/col/col84623/index.html</w:t>
      </w:r>
      <w:r>
        <w:rPr>
          <w:rFonts w:hint="eastAsia" w:hAnsi="Times New Roman" w:cs="Times New Roman"/>
          <w:color w:val="auto"/>
          <w:sz w:val="24"/>
          <w:szCs w:val="24"/>
          <w:highlight w:val="none"/>
          <w:lang w:val="en-US" w:eastAsia="zh-CN"/>
        </w:rPr>
        <w:t xml:space="preserve">）</w:t>
      </w:r>
      <w:r>
        <w:rPr>
          <w:rFonts w:hint="default" w:hAnsi="Times New Roman" w:cs="Times New Roman"/>
          <w:color w:val="auto"/>
          <w:sz w:val="24"/>
          <w:szCs w:val="24"/>
          <w:highlight w:val="none"/>
          <w:lang w:val="en-US" w:eastAsia="zh-CN"/>
        </w:rPr>
        <w:t xml:space="preserve">,</w:t>
      </w:r>
      <w:r>
        <w:rPr>
          <w:rFonts w:hint="eastAsia" w:hAnsi="Times New Roman" w:cs="Times New Roman"/>
          <w:color w:val="auto"/>
          <w:sz w:val="24"/>
          <w:szCs w:val="24"/>
          <w:highlight w:val="none"/>
          <w:lang w:val="en-US" w:eastAsia="zh-CN"/>
        </w:rPr>
        <w:t xml:space="preserve">（</w:t>
      </w:r>
      <w:r>
        <w:rPr>
          <w:rFonts w:hint="default" w:hAnsi="Times New Roman" w:cs="Times New Roman"/>
          <w:color w:val="auto"/>
          <w:sz w:val="24"/>
          <w:szCs w:val="24"/>
          <w:highlight w:val="none"/>
          <w:lang w:val="en-US" w:eastAsia="zh-CN"/>
        </w:rPr>
        <w:t xml:space="preserve">投标供应商和饮片生产企业)每上榜一次扣</w:t>
      </w:r>
      <w:r>
        <w:rPr>
          <w:rFonts w:hint="eastAsia" w:cs="Times New Roman"/>
          <w:color w:val="auto"/>
          <w:sz w:val="24"/>
          <w:szCs w:val="24"/>
          <w:highlight w:val="none"/>
          <w:lang w:val="en-US" w:eastAsia="zh-CN"/>
        </w:rPr>
        <w:t xml:space="preserve">1</w:t>
      </w:r>
      <w:r>
        <w:rPr>
          <w:rFonts w:hint="default" w:hAnsi="Times New Roman" w:cs="Times New Roman"/>
          <w:color w:val="auto"/>
          <w:sz w:val="24"/>
          <w:szCs w:val="24"/>
          <w:highlight w:val="none"/>
          <w:lang w:val="en-US" w:eastAsia="zh-CN"/>
        </w:rPr>
        <w:t xml:space="preserve">分，扣完为止。供应商(含饮片生产企业)</w:t>
      </w:r>
      <w:r>
        <w:rPr>
          <w:rFonts w:hint="eastAsia" w:hAnsi="Times New Roman" w:cs="Times New Roman"/>
          <w:color w:val="auto"/>
          <w:sz w:val="24"/>
          <w:szCs w:val="24"/>
          <w:highlight w:val="none"/>
          <w:lang w:val="en-US" w:eastAsia="zh-CN"/>
        </w:rPr>
        <w:t xml:space="preserve">需</w:t>
      </w:r>
      <w:r>
        <w:rPr>
          <w:rFonts w:hint="default" w:hAnsi="Times New Roman" w:cs="Times New Roman"/>
          <w:color w:val="auto"/>
          <w:sz w:val="24"/>
          <w:szCs w:val="24"/>
          <w:highlight w:val="none"/>
          <w:lang w:val="en-US" w:eastAsia="zh-CN"/>
        </w:rPr>
        <w:t xml:space="preserve">自行注明2023年-2025年上榜次数</w:t>
      </w:r>
      <w:r>
        <w:rPr>
          <w:rFonts w:hint="eastAsia" w:cs="Times New Roman"/>
          <w:color w:val="auto"/>
          <w:sz w:val="24"/>
          <w:szCs w:val="24"/>
          <w:highlight w:val="none"/>
          <w:lang w:val="en-US" w:eastAsia="zh-CN"/>
        </w:rPr>
        <w:t xml:space="preserve">并承诺（承诺书格式自拟）</w:t>
      </w:r>
      <w:r>
        <w:rPr>
          <w:rFonts w:hint="eastAsia" w:hAnsi="Times New Roman" w:cs="Times New Roman"/>
          <w:color w:val="auto"/>
          <w:sz w:val="24"/>
          <w:szCs w:val="24"/>
          <w:highlight w:val="none"/>
          <w:lang w:val="en-US" w:eastAsia="zh-CN"/>
        </w:rPr>
        <w:t xml:space="preserve">上传系统并签章</w:t>
      </w:r>
      <w:r>
        <w:rPr>
          <w:rFonts w:hint="eastAsia" w:cs="Times New Roman"/>
          <w:color w:val="auto"/>
          <w:sz w:val="24"/>
          <w:szCs w:val="24"/>
          <w:highlight w:val="none"/>
          <w:lang w:val="en-US" w:eastAsia="zh-CN"/>
        </w:rPr>
        <w:t xml:space="preserve">，不提供或提供不符合要求本项不得分。</w:t>
      </w:r>
      <w:r>
        <w:rPr>
          <w:rFonts w:hint="eastAsia" w:hAnsi="Times New Roman" w:cs="Times New Roman"/>
          <w:color w:val="auto"/>
          <w:sz w:val="24"/>
          <w:szCs w:val="24"/>
          <w:highlight w:val="none"/>
          <w:lang w:val="en-US" w:eastAsia="zh-CN"/>
        </w:rPr>
        <w:t xml:space="preserve">（</w:t>
      </w:r>
      <w:r>
        <w:rPr>
          <w:rFonts w:hint="default" w:hAnsi="Times New Roman" w:cs="Times New Roman"/>
          <w:color w:val="auto"/>
          <w:sz w:val="24"/>
          <w:szCs w:val="24"/>
          <w:highlight w:val="none"/>
          <w:lang w:val="en-US" w:eastAsia="zh-CN"/>
        </w:rPr>
        <w:t xml:space="preserve">如发现提供虚假材料则取消中标资格）</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以上涉及提供承诺的评分若中标后不能满足，采购人有权取消该供应商的中标资格，并不用承担任何违约性责任，同时按相应规定对该供应商进行处罚，且中标资格顺延至第二名或重新招标。请投标供应商根据实际情况进行考虑。</w:t>
      </w:r>
      <w:r/>
    </w:p>
    <w:p>
      <w:pPr>
        <w:ind w:firstLine="482"/>
        <w:keepLines w:val="0"/>
        <w:keepNext w:val="0"/>
        <w:pageBreakBefore w:val="0"/>
        <w:spacing w:line="360" w:lineRule="auto"/>
        <w:widowControl w:val="off"/>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三、技术标部分（满分</w:t>
      </w: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1）质量控制方案（</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根据投标供应商提供的</w:t>
      </w:r>
      <w:r>
        <w:rPr>
          <w:rFonts w:hint="eastAsia" w:ascii="宋体" w:hAnsi="宋体" w:eastAsia="宋体" w:cs="宋体"/>
          <w:bCs/>
          <w:color w:val="auto"/>
          <w:sz w:val="24"/>
          <w:szCs w:val="24"/>
          <w:highlight w:val="none"/>
          <w:lang w:val="en-US" w:eastAsia="zh-CN"/>
        </w:rPr>
        <w:t xml:space="preserve">针对本项目的</w:t>
      </w:r>
      <w:r>
        <w:rPr>
          <w:rFonts w:hint="eastAsia" w:ascii="宋体" w:hAnsi="宋体" w:eastAsia="宋体" w:cs="宋体"/>
          <w:bCs/>
          <w:color w:val="auto"/>
          <w:sz w:val="24"/>
          <w:szCs w:val="24"/>
          <w:highlight w:val="none"/>
        </w:rPr>
        <w:t xml:space="preserve">全程质量控制管理方案进行综合评审，全程质量控制管理方案包括且不限于中药饮片质量控制、代加工服务质量控制、信息管理质量控制等措施和方案。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以上内容不存在瑕疵、漏项，有针对性解释说明，得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分；以上内容存在1处瑕疵、漏项有针对性解释说明，得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分；以上内容存在2处瑕疵、漏项，有针对性解释说明，得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分；以上内容存在</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处瑕疵、漏项，有针对性解释说明，得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以上内容存在4-5 处瑕疵、漏项，有针对性解释说明，得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分；未提供或不满足采购需求或内容存在5处以上瑕疵、漏项，得0分。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2）服务方案（</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根据投标供应商提供的</w:t>
      </w:r>
      <w:r>
        <w:rPr>
          <w:rFonts w:hint="eastAsia" w:ascii="宋体" w:hAnsi="宋体" w:eastAsia="宋体" w:cs="宋体"/>
          <w:bCs/>
          <w:color w:val="auto"/>
          <w:sz w:val="24"/>
          <w:szCs w:val="24"/>
          <w:highlight w:val="none"/>
          <w:lang w:val="en-US" w:eastAsia="zh-CN"/>
        </w:rPr>
        <w:t xml:space="preserve">针对本项目的</w:t>
      </w:r>
      <w:r>
        <w:rPr>
          <w:rFonts w:hint="eastAsia" w:ascii="宋体" w:hAnsi="宋体" w:eastAsia="宋体" w:cs="宋体"/>
          <w:bCs/>
          <w:color w:val="auto"/>
          <w:sz w:val="24"/>
          <w:szCs w:val="24"/>
          <w:highlight w:val="none"/>
        </w:rPr>
        <w:t xml:space="preserve">服务方案情况进行综合评审，服务方案包括且不限于：</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①饮片供应方案（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分）：方案科学性、合理性、可行性强得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分；方案科学性、合理性、可行性</w:t>
      </w:r>
      <w:r>
        <w:rPr>
          <w:rStyle w:val="763"/>
          <w:rFonts w:hint="eastAsia" w:ascii="宋体" w:hAnsi="宋体" w:eastAsia="宋体" w:cs="宋体"/>
          <w:b w:val="0"/>
          <w:bCs w:val="0"/>
          <w:i w:val="0"/>
          <w:iCs w:val="0"/>
          <w:caps w:val="0"/>
          <w:color w:val="auto"/>
          <w:spacing w:val="0"/>
          <w:sz w:val="24"/>
          <w:szCs w:val="24"/>
          <w:highlight w:val="none"/>
          <w:shd w:val="clear" w:color="auto" w:fill="f7f8fa"/>
        </w:rPr>
        <w:t xml:space="preserve">尚可</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分；方案科学性、合理性、可行性一般得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分；方案科学性、合理性、可行性差得0分。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②代加工（汤剂、膏药、制丸、磨粉）管理方案（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分）：方案科学性、合理性、可行性强得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分；方案科学性、合理性、可行性</w:t>
      </w:r>
      <w:r>
        <w:rPr>
          <w:rStyle w:val="763"/>
          <w:rFonts w:hint="eastAsia" w:ascii="宋体" w:hAnsi="宋体" w:eastAsia="宋体" w:cs="宋体"/>
          <w:b w:val="0"/>
          <w:bCs w:val="0"/>
          <w:i w:val="0"/>
          <w:iCs w:val="0"/>
          <w:caps w:val="0"/>
          <w:color w:val="auto"/>
          <w:spacing w:val="0"/>
          <w:sz w:val="24"/>
          <w:szCs w:val="24"/>
          <w:highlight w:val="none"/>
          <w:shd w:val="clear" w:color="auto" w:fill="f7f8fa"/>
        </w:rPr>
        <w:t xml:space="preserve">尚可</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分；方案科学性、合理性、可行性一般得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分；方案科学性、合理性、可行性差得0分。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③日常管理方案（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分）：方案科学性、合理性、可行性强得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分；方案科学性、合理性、可行性</w:t>
      </w:r>
      <w:r>
        <w:rPr>
          <w:rStyle w:val="763"/>
          <w:rFonts w:hint="eastAsia" w:ascii="宋体" w:hAnsi="宋体" w:eastAsia="宋体" w:cs="宋体"/>
          <w:b w:val="0"/>
          <w:bCs w:val="0"/>
          <w:i w:val="0"/>
          <w:iCs w:val="0"/>
          <w:caps w:val="0"/>
          <w:color w:val="auto"/>
          <w:spacing w:val="0"/>
          <w:sz w:val="24"/>
          <w:szCs w:val="24"/>
          <w:highlight w:val="none"/>
          <w:shd w:val="clear" w:color="auto" w:fill="f7f8fa"/>
        </w:rPr>
        <w:t xml:space="preserve">尚可</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分；方案科学性、合理性、可行性一般得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分；方案科学性、合理性、可行性差得0分。</w:t>
      </w:r>
      <w:r/>
    </w:p>
    <w:p>
      <w:pPr>
        <w:ind w:firstLine="480"/>
        <w:keepLines w:val="0"/>
        <w:keepNext w:val="0"/>
        <w:pageBreakBefore w:val="0"/>
        <w:spacing w:line="360" w:lineRule="auto"/>
        <w:widowControl w:val="off"/>
        <w:rPr>
          <w:rFonts w:hint="eastAsia" w:ascii="宋体" w:hAnsi="宋体" w:eastAsia="宋体" w:cs="宋体"/>
          <w:bCs/>
          <w:strike/>
          <w:color w:val="auto"/>
          <w:sz w:val="24"/>
          <w:szCs w:val="24"/>
          <w:highlight w:val="none"/>
        </w:rPr>
      </w:pPr>
      <w:r>
        <w:rPr>
          <w:rFonts w:hint="eastAsia" w:ascii="宋体" w:hAnsi="宋体" w:eastAsia="宋体" w:cs="宋体"/>
          <w:bCs/>
          <w:color w:val="auto"/>
          <w:sz w:val="24"/>
          <w:szCs w:val="24"/>
          <w:highlight w:val="none"/>
        </w:rPr>
        <w:t xml:space="preserve">④差错处理方案等措施和方案（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分）：方案科学性、合理性、可行性强得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分；方案科学性、合理性、可行性</w:t>
      </w:r>
      <w:r>
        <w:rPr>
          <w:rStyle w:val="763"/>
          <w:rFonts w:hint="eastAsia" w:ascii="宋体" w:hAnsi="宋体" w:eastAsia="宋体" w:cs="宋体"/>
          <w:b w:val="0"/>
          <w:bCs w:val="0"/>
          <w:i w:val="0"/>
          <w:iCs w:val="0"/>
          <w:caps w:val="0"/>
          <w:color w:val="auto"/>
          <w:spacing w:val="0"/>
          <w:sz w:val="24"/>
          <w:szCs w:val="24"/>
          <w:highlight w:val="none"/>
          <w:shd w:val="clear" w:color="auto" w:fill="f7f8fa"/>
        </w:rPr>
        <w:t xml:space="preserve">尚可</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分；方案科学性、合理性、可行性一般得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分；方案科学性、合理性、可行性差得0分。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3）售后服务方案（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根据投标供应商提供的</w:t>
      </w:r>
      <w:r>
        <w:rPr>
          <w:rFonts w:hint="eastAsia" w:ascii="宋体" w:hAnsi="宋体" w:eastAsia="宋体" w:cs="宋体"/>
          <w:bCs/>
          <w:color w:val="auto"/>
          <w:sz w:val="24"/>
          <w:szCs w:val="24"/>
          <w:highlight w:val="none"/>
          <w:lang w:val="en-US" w:eastAsia="zh-CN"/>
        </w:rPr>
        <w:t xml:space="preserve">针对本项目的</w:t>
      </w:r>
      <w:r>
        <w:rPr>
          <w:rFonts w:hint="eastAsia" w:ascii="宋体" w:hAnsi="宋体" w:eastAsia="宋体" w:cs="宋体"/>
          <w:bCs/>
          <w:color w:val="auto"/>
          <w:sz w:val="24"/>
          <w:szCs w:val="24"/>
          <w:highlight w:val="none"/>
        </w:rPr>
        <w:t xml:space="preserve">售后服务方案，包括售后服务的内容和详细方案合理性、科学性、备件备品</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售后服务方</w:t>
      </w:r>
      <w:r>
        <w:rPr>
          <w:rFonts w:hint="eastAsia" w:ascii="宋体" w:hAnsi="宋体" w:eastAsia="宋体" w:cs="宋体"/>
          <w:bCs/>
          <w:color w:val="auto"/>
          <w:sz w:val="24"/>
          <w:szCs w:val="24"/>
          <w:highlight w:val="none"/>
        </w:rPr>
        <w:t xml:space="preserve">案和措施等情况。</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以上内容不存在瑕疵、漏项，有针对性解释说明，得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分；以上内容存在1处瑕疵、漏项有针对性解释说明，得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分；以上内容存在 2-3 处瑕疵、漏项，有针对性解释说明，得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分；未提供或不满足采购需求或内容存在3处以上瑕疵、漏项，得0分。</w:t>
      </w:r>
      <w:r/>
    </w:p>
    <w:p>
      <w:pPr>
        <w:numPr>
          <w:ilvl w:val="0"/>
          <w:numId w:val="0"/>
        </w:numPr>
        <w:ind w:left="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szCs w:val="24"/>
          <w:highlight w:val="none"/>
        </w:rPr>
        <w:t xml:space="preserve">4）投标供应商</w:t>
      </w:r>
      <w:r>
        <w:rPr>
          <w:rFonts w:hint="eastAsia" w:ascii="宋体" w:hAnsi="宋体" w:eastAsia="宋体" w:cs="宋体"/>
          <w:bCs/>
          <w:color w:val="auto"/>
          <w:sz w:val="24"/>
          <w:szCs w:val="24"/>
          <w:highlight w:val="none"/>
          <w:lang w:val="en-US" w:eastAsia="zh-CN"/>
        </w:rPr>
        <w:t xml:space="preserve">针对本项目</w:t>
      </w:r>
      <w:r>
        <w:rPr>
          <w:rFonts w:hint="eastAsia" w:ascii="宋体" w:hAnsi="宋体" w:eastAsia="宋体" w:cs="宋体"/>
          <w:b w:val="0"/>
          <w:bCs w:val="0"/>
          <w:color w:val="auto"/>
          <w:sz w:val="24"/>
          <w:szCs w:val="24"/>
          <w:highlight w:val="none"/>
          <w:lang w:val="en-US" w:eastAsia="zh-CN"/>
        </w:rPr>
        <w:t xml:space="preserve">其他服务承诺（2分）</w:t>
      </w:r>
      <w:r/>
    </w:p>
    <w:p>
      <w:pPr>
        <w:ind w:firstLine="480"/>
        <w:keepLines w:val="0"/>
        <w:keepNext w:val="0"/>
        <w:pageBreakBefore w:val="0"/>
        <w:spacing w:line="360" w:lineRule="auto"/>
        <w:widowControl w:val="off"/>
        <w:rPr>
          <w:rFonts w:hint="default" w:ascii="宋体" w:hAnsi="宋体" w:eastAsia="宋体" w:cs="宋体"/>
          <w:b w:val="0"/>
          <w:bCs w:val="0"/>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包含但不限于开展中药材知识培训等。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针对本项目的方案可执行性高的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针对本项目的方案可执行性</w:t>
      </w:r>
      <w:r>
        <w:rPr>
          <w:rStyle w:val="763"/>
          <w:rFonts w:hint="eastAsia" w:ascii="宋体" w:hAnsi="宋体" w:eastAsia="宋体" w:cs="宋体"/>
          <w:b w:val="0"/>
          <w:bCs w:val="0"/>
          <w:i w:val="0"/>
          <w:iCs w:val="0"/>
          <w:caps w:val="0"/>
          <w:color w:val="auto"/>
          <w:spacing w:val="0"/>
          <w:sz w:val="24"/>
          <w:szCs w:val="24"/>
          <w:highlight w:val="none"/>
          <w:shd w:val="clear" w:color="auto" w:fill="f7f8fa"/>
        </w:rPr>
        <w:t xml:space="preserve">尚可</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val="en-US" w:eastAsia="zh-CN"/>
        </w:rPr>
        <w:t xml:space="preserve">可执行性差或</w:t>
      </w:r>
      <w:r>
        <w:rPr>
          <w:rFonts w:hint="eastAsia" w:ascii="宋体" w:hAnsi="宋体" w:eastAsia="宋体" w:cs="宋体"/>
          <w:color w:val="auto"/>
          <w:sz w:val="24"/>
          <w:szCs w:val="24"/>
          <w:highlight w:val="none"/>
          <w:lang w:val="en-US" w:eastAsia="zh-CN"/>
        </w:rPr>
        <w:t xml:space="preserve">未提供方案的不得分。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5）物流配送</w:t>
      </w:r>
      <w:r>
        <w:rPr>
          <w:rFonts w:hint="eastAsia" w:ascii="宋体" w:hAnsi="宋体" w:eastAsia="宋体" w:cs="宋体"/>
          <w:bCs/>
          <w:color w:val="auto"/>
          <w:sz w:val="24"/>
          <w:szCs w:val="24"/>
          <w:highlight w:val="none"/>
          <w:lang w:val="en-US" w:eastAsia="zh-CN"/>
        </w:rPr>
        <w:t xml:space="preserve">及应急处置</w:t>
      </w:r>
      <w:r>
        <w:rPr>
          <w:rFonts w:hint="eastAsia" w:ascii="宋体" w:hAnsi="宋体" w:eastAsia="宋体" w:cs="宋体"/>
          <w:bCs/>
          <w:color w:val="auto"/>
          <w:sz w:val="24"/>
          <w:szCs w:val="24"/>
          <w:highlight w:val="none"/>
        </w:rPr>
        <w:t xml:space="preserve">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根据投标供应商提供的</w:t>
      </w:r>
      <w:r>
        <w:rPr>
          <w:rFonts w:hint="eastAsia" w:ascii="宋体" w:hAnsi="宋体" w:eastAsia="宋体" w:cs="宋体"/>
          <w:bCs/>
          <w:color w:val="auto"/>
          <w:sz w:val="24"/>
          <w:szCs w:val="24"/>
          <w:highlight w:val="none"/>
          <w:lang w:val="en-US" w:eastAsia="zh-CN"/>
        </w:rPr>
        <w:t xml:space="preserve">针对本项目的</w:t>
      </w:r>
      <w:r>
        <w:rPr>
          <w:rFonts w:hint="eastAsia" w:ascii="宋体" w:hAnsi="宋体" w:eastAsia="宋体" w:cs="宋体"/>
          <w:bCs/>
          <w:color w:val="auto"/>
          <w:sz w:val="24"/>
          <w:szCs w:val="24"/>
          <w:highlight w:val="none"/>
        </w:rPr>
        <w:t xml:space="preserve">物流配送</w:t>
      </w:r>
      <w:r>
        <w:rPr>
          <w:rFonts w:hint="eastAsia" w:ascii="宋体" w:hAnsi="宋体" w:eastAsia="宋体" w:cs="宋体"/>
          <w:bCs/>
          <w:color w:val="auto"/>
          <w:sz w:val="24"/>
          <w:szCs w:val="24"/>
          <w:highlight w:val="none"/>
          <w:lang w:val="en-US" w:eastAsia="zh-CN"/>
        </w:rPr>
        <w:t xml:space="preserve">及应急处置</w:t>
      </w:r>
      <w:r>
        <w:rPr>
          <w:rFonts w:hint="eastAsia" w:ascii="宋体" w:hAnsi="宋体" w:eastAsia="宋体" w:cs="宋体"/>
          <w:bCs/>
          <w:color w:val="auto"/>
          <w:sz w:val="24"/>
          <w:szCs w:val="24"/>
          <w:highlight w:val="none"/>
        </w:rPr>
        <w:t xml:space="preserve">方案</w:t>
      </w:r>
      <w:r>
        <w:rPr>
          <w:rFonts w:hint="eastAsia" w:ascii="宋体" w:hAnsi="宋体" w:eastAsia="宋体" w:cs="宋体"/>
          <w:bCs/>
          <w:color w:val="auto"/>
          <w:sz w:val="24"/>
          <w:szCs w:val="24"/>
          <w:highlight w:val="none"/>
          <w:lang w:val="en-US" w:eastAsia="zh-CN"/>
        </w:rPr>
        <w:t xml:space="preserve">进行评分</w:t>
      </w:r>
      <w:r>
        <w:rPr>
          <w:rFonts w:hint="eastAsia" w:ascii="宋体" w:hAnsi="宋体" w:eastAsia="宋体" w:cs="宋体"/>
          <w:bCs/>
          <w:color w:val="auto"/>
          <w:sz w:val="24"/>
          <w:szCs w:val="24"/>
          <w:highlight w:val="none"/>
        </w:rPr>
        <w:t xml:space="preserve">，包括但不限于</w:t>
      </w:r>
      <w:r>
        <w:rPr>
          <w:rFonts w:hint="eastAsia" w:ascii="宋体" w:hAnsi="宋体" w:eastAsia="宋体" w:cs="宋体"/>
          <w:bCs/>
          <w:color w:val="auto"/>
          <w:sz w:val="24"/>
          <w:szCs w:val="24"/>
          <w:highlight w:val="none"/>
          <w:lang w:val="en-US" w:eastAsia="zh-CN"/>
        </w:rPr>
        <w:t xml:space="preserve">具备快捷、安全的配送能力、应对加工量突增、设备故障、交通不畅等突发情况的应急预案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以上内容不存在瑕疵、漏项，有针对性解释说明，得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分；以上内容存在1处瑕疵、漏项有针对性解释说明，得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分；以上内容存在 2-3 处瑕疵、漏项，有针对性解释说明，得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分；未提供或不满足采购需求或内容存在3处以上瑕疵、漏项，得0分。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6）信息系统互联互通信息平台（</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strike/>
          <w:color w:val="auto"/>
          <w:sz w:val="24"/>
          <w:szCs w:val="24"/>
          <w:highlight w:val="none"/>
        </w:rPr>
      </w:pPr>
      <w:r>
        <w:rPr>
          <w:rFonts w:hint="eastAsia" w:ascii="宋体" w:hAnsi="宋体" w:eastAsia="宋体" w:cs="宋体"/>
          <w:bCs/>
          <w:color w:val="auto"/>
          <w:sz w:val="24"/>
          <w:szCs w:val="24"/>
          <w:highlight w:val="none"/>
        </w:rPr>
        <w:t xml:space="preserve">提供信息系统对接方案：方案至少包括信息系统维护更新的及时性（保证医疗机构和投标供应商间的处方信息和配送信息及时传达到位，服务及时）、处方信息的完整性、配送信息的及时准确性、服务手段的便利性。</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对接方案科学合理、信息完整准确，服务便利，得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对接方案合理、信息准确</w:t>
      </w:r>
      <w:r>
        <w:rPr>
          <w:rFonts w:hint="eastAsia" w:ascii="宋体" w:hAnsi="宋体" w:eastAsia="宋体" w:cs="宋体"/>
          <w:bCs/>
          <w:color w:val="auto"/>
          <w:sz w:val="24"/>
          <w:szCs w:val="24"/>
          <w:highlight w:val="none"/>
          <w:lang w:val="en-US" w:eastAsia="zh-CN"/>
        </w:rPr>
        <w:t xml:space="preserve">有待完善</w:t>
      </w:r>
      <w:r>
        <w:rPr>
          <w:rFonts w:hint="eastAsia" w:ascii="宋体" w:hAnsi="宋体" w:eastAsia="宋体" w:cs="宋体"/>
          <w:bCs/>
          <w:color w:val="auto"/>
          <w:sz w:val="24"/>
          <w:szCs w:val="24"/>
          <w:highlight w:val="none"/>
        </w:rPr>
        <w:t xml:space="preserve">，服务便利，得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对接方案合理性、信息完整度及准确性不高，服务麻烦，得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未提供对接方案不得分。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为保证代加工（汤剂、膏药、制丸、磨粉）中药质量，投标供应商需对代加工的每个操作步骤都做出详细规定，并做好记录可供追溯。提供相关的追溯方案（</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追溯方案详细，步骤清晰完整，思路合理得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追溯方案详细</w:t>
      </w:r>
      <w:r>
        <w:rPr>
          <w:rFonts w:hint="eastAsia" w:ascii="宋体" w:hAnsi="宋体" w:eastAsia="宋体" w:cs="宋体"/>
          <w:bCs/>
          <w:color w:val="auto"/>
          <w:sz w:val="24"/>
          <w:szCs w:val="24"/>
          <w:highlight w:val="none"/>
          <w:lang w:val="en-US" w:eastAsia="zh-CN"/>
        </w:rPr>
        <w:t xml:space="preserve">度不高</w:t>
      </w:r>
      <w:r>
        <w:rPr>
          <w:rFonts w:hint="eastAsia" w:ascii="宋体" w:hAnsi="宋体" w:eastAsia="宋体" w:cs="宋体"/>
          <w:bCs/>
          <w:color w:val="auto"/>
          <w:sz w:val="24"/>
          <w:szCs w:val="24"/>
          <w:highlight w:val="none"/>
        </w:rPr>
        <w:t xml:space="preserve">，步骤</w:t>
      </w:r>
      <w:r>
        <w:rPr>
          <w:rFonts w:hint="eastAsia" w:ascii="宋体" w:hAnsi="宋体" w:eastAsia="宋体" w:cs="宋体"/>
          <w:bCs/>
          <w:color w:val="auto"/>
          <w:sz w:val="24"/>
          <w:szCs w:val="24"/>
          <w:highlight w:val="none"/>
          <w:lang w:val="en-US" w:eastAsia="zh-CN"/>
        </w:rPr>
        <w:t xml:space="preserve">合理有待完善</w:t>
      </w:r>
      <w:r>
        <w:rPr>
          <w:rFonts w:hint="eastAsia" w:ascii="宋体" w:hAnsi="宋体" w:eastAsia="宋体" w:cs="宋体"/>
          <w:bCs/>
          <w:color w:val="auto"/>
          <w:sz w:val="24"/>
          <w:szCs w:val="24"/>
          <w:highlight w:val="none"/>
        </w:rPr>
        <w:t xml:space="preserve">，思路</w:t>
      </w:r>
      <w:r>
        <w:rPr>
          <w:rFonts w:hint="eastAsia" w:ascii="宋体" w:hAnsi="宋体" w:eastAsia="宋体" w:cs="宋体"/>
          <w:bCs/>
          <w:color w:val="auto"/>
          <w:sz w:val="24"/>
          <w:szCs w:val="24"/>
          <w:highlight w:val="none"/>
          <w:lang w:val="en-US" w:eastAsia="zh-CN"/>
        </w:rPr>
        <w:t xml:space="preserve">尚可</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追溯方案简略，步骤不太明确，思路不合理得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未提供追溯方案不得分。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rPr>
          <w:rFonts w:ascii="宋体" w:hAnsi="宋体" w:eastAsia="宋体" w:cs="宋体"/>
          <w:bCs/>
          <w:color w:val="auto"/>
          <w:sz w:val="36"/>
          <w:szCs w:val="36"/>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160"/>
        <w:ind w:firstLine="602"/>
        <w:spacing w:before="0" w:after="0"/>
        <w:rPr>
          <w:rFonts w:ascii="宋体" w:hAnsi="宋体" w:cs="宋体"/>
          <w:b/>
          <w:color w:val="auto"/>
          <w:sz w:val="30"/>
          <w:szCs w:val="30"/>
          <w:highlight w:val="none"/>
        </w:rPr>
      </w:pPr>
      <w:r/>
      <w:bookmarkStart w:id="146" w:name="_Hlt26671244"/>
      <w:r/>
      <w:bookmarkEnd w:id="146"/>
      <w:r/>
      <w:bookmarkStart w:id="147" w:name="_Hlt26955039"/>
      <w:r/>
      <w:bookmarkEnd w:id="147"/>
      <w:r>
        <w:rPr>
          <w:rFonts w:hint="eastAsia" w:ascii="宋体" w:hAnsi="宋体" w:cs="宋体"/>
          <w:b/>
          <w:color w:val="auto"/>
          <w:sz w:val="30"/>
          <w:szCs w:val="30"/>
          <w:highlight w:val="none"/>
        </w:rPr>
        <w:t xml:space="preserve">第一部分投标文件内容</w:t>
      </w:r>
      <w:r/>
    </w:p>
    <w:p>
      <w:pPr>
        <w:pStyle w:val="1160"/>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60"/>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60"/>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60"/>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60"/>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w:t>
            </w:r>
            <w:r>
              <w:rPr>
                <w:rFonts w:hint="eastAsia" w:ascii="宋体" w:hAnsi="宋体" w:eastAsia="宋体" w:cs="宋体"/>
                <w:bCs/>
                <w:color w:val="auto"/>
                <w:sz w:val="24"/>
                <w:highlight w:val="none"/>
                <w:lang w:val="en-US" w:eastAsia="zh-CN"/>
              </w:rPr>
              <w:t xml:space="preserve">一年</w:t>
            </w:r>
            <w:r>
              <w:rPr>
                <w:rFonts w:hint="eastAsia" w:ascii="宋体" w:hAnsi="宋体" w:eastAsia="宋体" w:cs="宋体"/>
                <w:bCs/>
                <w:color w:val="auto"/>
                <w:sz w:val="24"/>
                <w:highlight w:val="none"/>
              </w:rPr>
              <w:t xml:space="preserve">中任意一个月份（不含投标当月）的社保缴费证明（新成立的企业若不满足六个月，提供成立之后被授权人相关月份的社保缴费证明）；</w:t>
            </w:r>
            <w:r/>
          </w:p>
        </w:tc>
        <w:tc>
          <w:tcPr>
            <w:tcW w:w="2449"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853"/>
                <w:rFonts w:hint="eastAsia" w:ascii="宋体" w:hAnsi="宋体" w:eastAsia="宋体" w:cs="宋体"/>
                <w:color w:val="auto"/>
                <w:highlight w:val="none"/>
              </w:rPr>
              <w:t xml:space="preserve">。</w:t>
            </w:r>
            <w:r/>
          </w:p>
        </w:tc>
        <w:tc>
          <w:tcPr>
            <w:tcW w:w="2449"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191"/>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60"/>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449" w:type="dxa"/>
            <w:vAlign w:val="center"/>
            <w:textDirection w:val="lrTb"/>
            <w:noWrap w:val="false"/>
          </w:tcPr>
          <w:p>
            <w:pPr>
              <w:pStyle w:val="1160"/>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60"/>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60"/>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olor w:val="auto"/>
                <w:highlight w:val="none"/>
              </w:rPr>
              <w:t xml:space="preserve">供应商具备有效期内的</w:t>
            </w:r>
            <w:r>
              <w:rPr>
                <w:rFonts w:hint="eastAsia" w:ascii="宋体" w:hAnsi="宋体" w:eastAsia="宋体" w:cs="宋体"/>
                <w:color w:val="auto"/>
                <w:sz w:val="24"/>
                <w:highlight w:val="none"/>
                <w:lang w:eastAsia="zh-CN"/>
              </w:rPr>
              <w:t xml:space="preserve">《药品生产许可证》或《药品经营许可证》</w:t>
            </w:r>
            <w:r/>
          </w:p>
        </w:tc>
        <w:tc>
          <w:tcPr>
            <w:tcW w:w="2449" w:type="dxa"/>
            <w:vAlign w:val="center"/>
            <w:textDirection w:val="lrTb"/>
            <w:noWrap w:val="false"/>
          </w:tcPr>
          <w:p>
            <w:pPr>
              <w:pStyle w:val="1160"/>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3"/>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3"/>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761"/>
        <w:rPr>
          <w:color w:val="auto"/>
          <w:highlight w:val="none"/>
        </w:rPr>
      </w:pPr>
      <w:r>
        <w:rPr>
          <w:color w:val="auto"/>
          <w:highlight w:val="none"/>
        </w:rPr>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60"/>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60"/>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60"/>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16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60"/>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6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16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60"/>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60"/>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567"/>
        </w:trPr>
        <w:tc>
          <w:tcPr>
            <w:tcW w:w="823" w:type="dxa"/>
            <w:vAlign w:val="center"/>
            <w:textDirection w:val="lrTb"/>
            <w:noWrap w:val="false"/>
          </w:tcPr>
          <w:p>
            <w:pPr>
              <w:pStyle w:val="116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60"/>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6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160"/>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6095" w:type="dxa"/>
            <w:vAlign w:val="center"/>
            <w:textDirection w:val="lrTb"/>
            <w:noWrap w:val="false"/>
          </w:tcPr>
          <w:p>
            <w:pPr>
              <w:pStyle w:val="1160"/>
              <w:ind w:firstLine="0"/>
              <w:jc w:val="both"/>
              <w:spacing w:before="0" w:after="0" w:line="240" w:lineRule="auto"/>
              <w:rPr>
                <w:rFonts w:hint="eastAsia" w:ascii="宋体" w:hAnsi="宋体" w:cs="宋体"/>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60"/>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60"/>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6095" w:type="dxa"/>
            <w:vAlign w:val="center"/>
            <w:textDirection w:val="lrTb"/>
            <w:noWrap w:val="false"/>
          </w:tcPr>
          <w:p>
            <w:pPr>
              <w:pStyle w:val="1160"/>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60"/>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160"/>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W w:w="6095" w:type="dxa"/>
            <w:vAlign w:val="center"/>
            <w:textDirection w:val="lrTb"/>
            <w:noWrap w:val="false"/>
          </w:tcPr>
          <w:p>
            <w:pPr>
              <w:pStyle w:val="1160"/>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60"/>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lang w:val="en-US" w:eastAsia="zh-CN"/>
        </w:rPr>
        <w:t xml:space="preserve">6</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60"/>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8"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48"/>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hint="eastAsia" w:ascii="宋体" w:hAnsi="宋体" w:cs="宋体"/>
          <w:bCs/>
          <w:color w:val="auto"/>
          <w:sz w:val="24"/>
          <w:highlight w:val="none"/>
          <w:shd w:val="clear" w:color="ffffff" w:fill="d9d9d9"/>
        </w:rPr>
        <w:outlineLvl w:val="0"/>
      </w:pPr>
      <w:r>
        <w:rPr>
          <w:rFonts w:hint="eastAsia" w:ascii="宋体" w:hAnsi="宋体" w:cs="宋体"/>
          <w:bCs/>
          <w:color w:val="auto"/>
          <w:sz w:val="28"/>
          <w:szCs w:val="28"/>
          <w:highlight w:val="none"/>
        </w:rPr>
        <w:t xml:space="preserve">授权委托书</w:t>
      </w:r>
      <w:r/>
    </w:p>
    <w:p>
      <w:pPr>
        <w:pStyle w:val="1159"/>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我公司（单位、联合体）针对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项目，兹授权：</w:t>
      </w:r>
      <w:r/>
    </w:p>
    <w:p>
      <w:pPr>
        <w:pStyle w:val="1159"/>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被授权人的姓名：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；性别：</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；职务：</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w:t>
      </w:r>
      <w:r/>
    </w:p>
    <w:p>
      <w:pPr>
        <w:pStyle w:val="1159"/>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被授权人的身份证号码：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；联系方式：</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w:t>
      </w:r>
      <w:r/>
    </w:p>
    <w:p>
      <w:pPr>
        <w:pStyle w:val="1159"/>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159"/>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159"/>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特此授权委托。</w:t>
      </w:r>
      <w:r/>
    </w:p>
    <w:p>
      <w:pPr>
        <w:pStyle w:val="1159"/>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 xml:space="preserve">授权日期：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                投标人名称（盖章）：</w:t>
      </w:r>
      <w:r/>
    </w:p>
    <w:p>
      <w:pPr>
        <w:pStyle w:val="115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法定代表人签字或盖章：</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被授权人签字或盖章：</w:t>
      </w:r>
      <w:r>
        <w:rPr>
          <w:rFonts w:hint="eastAsia" w:ascii="宋体" w:hAnsi="宋体" w:eastAsia="宋体" w:cs="宋体"/>
          <w:b w:val="0"/>
          <w:bCs/>
          <w:color w:val="auto"/>
          <w:sz w:val="24"/>
          <w:szCs w:val="24"/>
          <w:highlight w:val="none"/>
          <w:u w:val="single"/>
        </w:rPr>
        <w:t xml:space="preserve">        </w:t>
      </w:r>
      <w:r/>
    </w:p>
    <w:p>
      <w:pPr>
        <w:pStyle w:val="11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（被授权人身份证原件扫描件附后）</w:t>
      </w:r>
      <w:r/>
    </w:p>
    <w:p>
      <w:pPr>
        <w:pStyle w:val="1159"/>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w:t>
      </w:r>
      <w:r/>
    </w:p>
    <w:p>
      <w:pPr>
        <w:pStyle w:val="1159"/>
        <w:numPr>
          <w:ilvl w:val="0"/>
          <w:numId w:val="14"/>
        </w:num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若投标人为事业单位或其他组织或分支机构，则法定代表人处的签字人可为单位负责人。</w:t>
      </w:r>
      <w:r/>
    </w:p>
    <w:p>
      <w:pPr>
        <w:pStyle w:val="1159"/>
        <w:numPr>
          <w:ilvl w:val="0"/>
          <w:numId w:val="14"/>
        </w:num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当被授权人为法定代表人（或上述情况的单位负责人）时，只需在法定代表人处签字或盖章即可。</w:t>
      </w:r>
      <w:r/>
    </w:p>
    <w:p>
      <w:pPr>
        <w:pStyle w:val="1159"/>
        <w:numPr>
          <w:ilvl w:val="0"/>
          <w:numId w:val="14"/>
        </w:numPr>
        <w:ind w:firstLine="480"/>
        <w:spacing w:line="360" w:lineRule="auto"/>
        <w:rPr>
          <w:rFonts w:ascii="黑体" w:eastAsia="黑体"/>
          <w:bCs/>
          <w:color w:val="auto"/>
          <w:sz w:val="28"/>
          <w:szCs w:val="28"/>
          <w:highlight w:val="none"/>
        </w:rPr>
      </w:pPr>
      <w:r>
        <w:rPr>
          <w:rFonts w:hint="eastAsia" w:ascii="宋体" w:hAnsi="宋体" w:eastAsia="宋体" w:cs="宋体"/>
          <w:b w:val="0"/>
          <w:bCs/>
          <w:color w:val="auto"/>
          <w:sz w:val="24"/>
          <w:szCs w:val="24"/>
          <w:highlight w:val="none"/>
        </w:rPr>
        <w:t xml:space="preserve">供应商为自然人情形的，可不提供本《授权委托书》。</w:t>
      </w:r>
      <w:r>
        <w:rPr>
          <w:rFonts w:hint="eastAsia" w:ascii="宋体" w:hAnsi="宋体" w:cs="宋体"/>
          <w:bCs/>
          <w:color w:val="auto"/>
          <w:sz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59"/>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宋体" w:hAnsi="宋体" w:eastAsia="宋体" w:cs="宋体"/>
          <w:bCs/>
          <w:color w:val="auto"/>
          <w:sz w:val="28"/>
          <w:szCs w:val="28"/>
          <w:highlight w:val="none"/>
        </w:rPr>
        <w:outlineLvl w:val="0"/>
      </w:pPr>
      <w:r/>
      <w:bookmarkStart w:id="149" w:name="报价方关于资格的声明函（格式）"/>
      <w:r/>
      <w:bookmarkEnd w:id="149"/>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根据《政府采购促进中小企业发展管理办法》（财库﹝2020﹞46 号）的规定</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服务全部由符合政策要求的中小企业承接</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从业人员</w:t>
      </w:r>
      <w:r>
        <w:rPr>
          <w:rFonts w:hint="eastAsia" w:ascii="宋体" w:hAnsi="宋体" w:eastAsia="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营业收入为</w:t>
      </w:r>
      <w:r>
        <w:rPr>
          <w:rFonts w:hint="eastAsia" w:ascii="宋体" w:hAnsi="宋体" w:eastAsia="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资产总额为</w:t>
      </w:r>
      <w:r>
        <w:rPr>
          <w:rFonts w:hint="eastAsia" w:ascii="宋体" w:hAnsi="宋体" w:eastAsia="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从业人员</w:t>
      </w:r>
      <w:r>
        <w:rPr>
          <w:rFonts w:hint="eastAsia" w:ascii="宋体" w:hAnsi="宋体" w:eastAsia="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营业收入为</w:t>
      </w:r>
      <w:r>
        <w:rPr>
          <w:rFonts w:hint="eastAsia" w:ascii="宋体" w:hAnsi="宋体" w:eastAsia="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资产总额为</w:t>
      </w:r>
      <w:r>
        <w:rPr>
          <w:rFonts w:hint="eastAsia" w:ascii="宋体" w:hAnsi="宋体" w:eastAsia="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hint="eastAsia" w:ascii="宋体" w:hAnsi="宋体"/>
          <w:bCs/>
          <w:color w:val="auto"/>
          <w:sz w:val="24"/>
          <w:szCs w:val="24"/>
          <w:highlight w:val="none"/>
          <w:lang w:eastAsia="zh-CN"/>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以上企业</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不属于大企业的分支机构</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不存在控股股东为大企业的情形</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也不存在与大企业的负责人为同一人的情形</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 本企业对上述声明内容的真实性负责</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如有虚假</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将依 法承担相应责任</w:t>
      </w:r>
      <w:r>
        <w:rPr>
          <w:rFonts w:hint="eastAsia" w:ascii="宋体" w:hAnsi="宋体"/>
          <w:bCs/>
          <w:color w:val="auto"/>
          <w:sz w:val="24"/>
          <w:szCs w:val="24"/>
          <w:highlight w:val="none"/>
          <w:lang w:eastAsia="zh-CN"/>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w:t>
      </w:r>
      <w:r>
        <w:rPr>
          <w:rFonts w:hint="eastAsia" w:ascii="宋体" w:hAnsi="宋体"/>
          <w:bCs/>
          <w:color w:val="auto"/>
          <w:sz w:val="24"/>
          <w:szCs w:val="24"/>
          <w:highlight w:val="none"/>
          <w:lang w:eastAsia="zh-CN"/>
        </w:rPr>
        <w:t xml:space="preserve">签章</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rFonts w:hint="eastAsia" w:eastAsia="宋体"/>
          <w:color w:val="auto"/>
          <w:highlight w:val="none"/>
          <w:lang w:eastAsia="zh-CN"/>
        </w:rPr>
      </w:pPr>
      <w:r>
        <w:rPr>
          <w:rFonts w:hint="eastAsia"/>
          <w:color w:val="auto"/>
          <w:highlight w:val="none"/>
        </w:rPr>
        <w:t xml:space="preserve">注：（1）项目技术要求中如对本项目标的及其所属行业进行逐一列明的</w:t>
      </w:r>
      <w:r>
        <w:rPr>
          <w:rFonts w:hint="eastAsia"/>
          <w:color w:val="auto"/>
          <w:highlight w:val="none"/>
          <w:lang w:eastAsia="zh-CN"/>
        </w:rPr>
        <w:t xml:space="preserve">，</w:t>
      </w:r>
      <w:r>
        <w:rPr>
          <w:rFonts w:hint="eastAsia"/>
          <w:color w:val="auto"/>
          <w:highlight w:val="none"/>
        </w:rPr>
        <w:t xml:space="preserve">投标人须根据项目技术要求中所列明的标的及其所属行业逐一进行填报</w:t>
      </w:r>
      <w:r>
        <w:rPr>
          <w:rFonts w:hint="eastAsia"/>
          <w:color w:val="auto"/>
          <w:highlight w:val="none"/>
          <w:lang w:eastAsia="zh-CN"/>
        </w:rPr>
        <w:t xml:space="preserve">。</w:t>
      </w:r>
      <w:r>
        <w:rPr>
          <w:rFonts w:hint="eastAsia"/>
          <w:color w:val="auto"/>
          <w:highlight w:val="none"/>
        </w:rPr>
        <w:t xml:space="preserve">根据本《中小企业声明函》类型</w:t>
      </w:r>
      <w:r>
        <w:rPr>
          <w:rFonts w:hint="eastAsia"/>
          <w:color w:val="auto"/>
          <w:highlight w:val="none"/>
          <w:lang w:eastAsia="zh-CN"/>
        </w:rPr>
        <w:t xml:space="preserve">，</w:t>
      </w:r>
      <w:r>
        <w:rPr>
          <w:rFonts w:hint="eastAsia"/>
          <w:color w:val="auto"/>
          <w:highlight w:val="none"/>
        </w:rPr>
        <w:t xml:space="preserve">项目属性为服务类的</w:t>
      </w:r>
      <w:r>
        <w:rPr>
          <w:rFonts w:hint="eastAsia"/>
          <w:color w:val="auto"/>
          <w:highlight w:val="none"/>
          <w:lang w:eastAsia="zh-CN"/>
        </w:rPr>
        <w:t xml:space="preserve">，只需按</w:t>
      </w:r>
      <w:r>
        <w:rPr>
          <w:rFonts w:hint="eastAsia"/>
          <w:color w:val="auto"/>
          <w:highlight w:val="none"/>
        </w:rPr>
        <w:t xml:space="preserve">项目技术要求中的服务部分标的及其所属行业逐一进行填报</w:t>
      </w:r>
      <w:r>
        <w:rPr>
          <w:rFonts w:hint="eastAsia"/>
          <w:color w:val="auto"/>
          <w:highlight w:val="none"/>
          <w:lang w:eastAsia="zh-CN"/>
        </w:rPr>
        <w:t xml:space="preserve">，</w:t>
      </w:r>
      <w:r>
        <w:rPr>
          <w:rFonts w:hint="eastAsia"/>
          <w:color w:val="auto"/>
          <w:highlight w:val="none"/>
        </w:rPr>
        <w:t xml:space="preserve">“企业名称”应填报为提供该项服务的承建（承接）商</w:t>
      </w:r>
      <w:r>
        <w:rPr>
          <w:rFonts w:hint="eastAsia"/>
          <w:color w:val="auto"/>
          <w:highlight w:val="none"/>
          <w:lang w:eastAsia="zh-CN"/>
        </w:rPr>
        <w:t xml:space="preserve">。</w:t>
      </w:r>
      <w:r>
        <w:rPr>
          <w:rFonts w:hint="eastAsia"/>
          <w:color w:val="auto"/>
          <w:highlight w:val="none"/>
        </w:rPr>
        <w:t xml:space="preserve">专门面向中小企业的项目投标人未按上述要求逐一进行填报的将被视为无效投标文件</w:t>
      </w:r>
      <w:r>
        <w:rPr>
          <w:rFonts w:hint="eastAsia"/>
          <w:color w:val="auto"/>
          <w:highlight w:val="none"/>
          <w:lang w:eastAsia="zh-CN"/>
        </w:rPr>
        <w:t xml:space="preserve">；</w:t>
      </w:r>
      <w:r>
        <w:rPr>
          <w:rFonts w:hint="eastAsia"/>
          <w:color w:val="auto"/>
          <w:highlight w:val="none"/>
        </w:rPr>
        <w:t xml:space="preserve">非专门面向中小企业的项目投标人未按上述要求逐一进行填报的将不进行中、小、微型企业认定</w:t>
      </w:r>
      <w:r>
        <w:rPr>
          <w:rFonts w:hint="eastAsia"/>
          <w:color w:val="auto"/>
          <w:highlight w:val="none"/>
          <w:lang w:eastAsia="zh-CN"/>
        </w:rPr>
        <w:t xml:space="preserve">。</w:t>
      </w:r>
      <w:r/>
    </w:p>
    <w:p>
      <w:pPr>
        <w:ind w:firstLine="420"/>
        <w:spacing w:line="360" w:lineRule="auto"/>
        <w:rPr>
          <w:rFonts w:hint="eastAsia" w:eastAsia="宋体"/>
          <w:color w:val="auto"/>
          <w:highlight w:val="none"/>
          <w:lang w:eastAsia="zh-CN"/>
        </w:rPr>
      </w:pPr>
      <w:r>
        <w:rPr>
          <w:rFonts w:hint="eastAsia"/>
          <w:color w:val="auto"/>
          <w:highlight w:val="none"/>
        </w:rPr>
        <w:t xml:space="preserve">（2）</w:t>
      </w:r>
      <w:r>
        <w:rPr>
          <w:color w:val="auto"/>
          <w:highlight w:val="none"/>
        </w:rPr>
        <w:t xml:space="preserve">从业人员、营业收入、资产总额填报上一年度数据</w:t>
      </w:r>
      <w:r>
        <w:rPr>
          <w:rFonts w:hint="eastAsia"/>
          <w:color w:val="auto"/>
          <w:highlight w:val="none"/>
          <w:lang w:eastAsia="zh-CN"/>
        </w:rPr>
        <w:t xml:space="preserve">，</w:t>
      </w:r>
      <w:r>
        <w:rPr>
          <w:color w:val="auto"/>
          <w:highlight w:val="none"/>
        </w:rPr>
        <w:t xml:space="preserve">无上一年度数据的新成立企业可不填报</w:t>
      </w:r>
      <w:r>
        <w:rPr>
          <w:rFonts w:hint="eastAsia"/>
          <w:color w:val="auto"/>
          <w:highlight w:val="none"/>
          <w:lang w:eastAsia="zh-CN"/>
        </w:rPr>
        <w:t xml:space="preserve">。</w:t>
      </w:r>
      <w:r/>
    </w:p>
    <w:p>
      <w:pPr>
        <w:ind w:firstLine="420"/>
        <w:spacing w:line="360" w:lineRule="auto"/>
        <w:rPr>
          <w:rFonts w:hint="eastAsia" w:eastAsia="宋体"/>
          <w:color w:val="auto"/>
          <w:highlight w:val="none"/>
          <w:lang w:eastAsia="zh-CN"/>
        </w:rPr>
      </w:pPr>
      <w:r>
        <w:rPr>
          <w:rFonts w:hint="eastAsia"/>
          <w:color w:val="auto"/>
          <w:highlight w:val="none"/>
        </w:rPr>
        <w:t xml:space="preserve">（3）</w:t>
      </w:r>
      <w:r>
        <w:rPr>
          <w:rFonts w:hint="eastAsia"/>
          <w:color w:val="auto"/>
          <w:highlight w:val="none"/>
          <w:lang w:eastAsia="zh-CN"/>
        </w:rPr>
        <w:t xml:space="preserve">中标人</w:t>
      </w:r>
      <w:r>
        <w:rPr>
          <w:rFonts w:hint="eastAsia"/>
          <w:color w:val="auto"/>
          <w:highlight w:val="none"/>
        </w:rPr>
        <w:t xml:space="preserve">的《</w:t>
      </w:r>
      <w:r>
        <w:rPr>
          <w:color w:val="auto"/>
          <w:highlight w:val="none"/>
        </w:rPr>
        <w:t xml:space="preserve">中小企业声明函</w:t>
      </w:r>
      <w:r>
        <w:rPr>
          <w:rFonts w:hint="eastAsia"/>
          <w:color w:val="auto"/>
          <w:highlight w:val="none"/>
        </w:rPr>
        <w:t xml:space="preserve">》将随中标公告进行公示</w:t>
      </w:r>
      <w:r>
        <w:rPr>
          <w:rFonts w:hint="eastAsia"/>
          <w:color w:val="auto"/>
          <w:highlight w:val="none"/>
          <w:lang w:eastAsia="zh-CN"/>
        </w:rPr>
        <w:t xml:space="preserve">。</w:t>
      </w:r>
      <w:r>
        <w:rPr>
          <w:rFonts w:hint="eastAsia"/>
          <w:color w:val="auto"/>
          <w:highlight w:val="none"/>
        </w:rPr>
        <w:t xml:space="preserve">供应商按照本办法规定提供声明函内容不实的</w:t>
      </w:r>
      <w:r>
        <w:rPr>
          <w:rFonts w:hint="eastAsia"/>
          <w:color w:val="auto"/>
          <w:highlight w:val="none"/>
          <w:lang w:eastAsia="zh-CN"/>
        </w:rPr>
        <w:t xml:space="preserve">，</w:t>
      </w:r>
      <w:r>
        <w:rPr>
          <w:rFonts w:hint="eastAsia"/>
          <w:color w:val="auto"/>
          <w:highlight w:val="none"/>
        </w:rPr>
        <w:t xml:space="preserve">属于提供虚假材料谋取中标、成交</w:t>
      </w:r>
      <w:r>
        <w:rPr>
          <w:rFonts w:hint="eastAsia"/>
          <w:color w:val="auto"/>
          <w:highlight w:val="none"/>
          <w:lang w:eastAsia="zh-CN"/>
        </w:rPr>
        <w:t xml:space="preserve">，</w:t>
      </w:r>
      <w:r>
        <w:rPr>
          <w:rFonts w:hint="eastAsia"/>
          <w:color w:val="auto"/>
          <w:highlight w:val="none"/>
        </w:rPr>
        <w:t xml:space="preserve">依照《中华人民共和国政府采购法》等国家有关规定追究相应责任</w:t>
      </w:r>
      <w:r>
        <w:rPr>
          <w:rFonts w:hint="eastAsia"/>
          <w:color w:val="auto"/>
          <w:highlight w:val="none"/>
          <w:lang w:eastAsia="zh-CN"/>
        </w:rPr>
        <w:t xml:space="preserve">。</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我方收到贵方编号招标文件，经仔细阅读和研究，我方决定参加此项目的投标。</w:t>
      </w:r>
      <w:r/>
    </w:p>
    <w:p>
      <w:pPr>
        <w:numPr>
          <w:ilvl w:val="0"/>
          <w:numId w:val="15"/>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我方愿意按照招标文件的一切要求，提供本项目的投标，投标优惠率见《开标一览表》。</w:t>
      </w:r>
      <w:r/>
    </w:p>
    <w:p>
      <w:pPr>
        <w:numPr>
          <w:ilvl w:val="0"/>
          <w:numId w:val="15"/>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54"/>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5"/>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；传真：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；邮编：</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auto"/>
          <w:sz w:val="24"/>
          <w:szCs w:val="24"/>
          <w:highlight w:val="none"/>
          <w:lang w:eastAsia="zh-CN"/>
        </w:rPr>
        <w:t xml:space="preserve">无锡市梁溪区扬名街道社区卫生服务中心</w:t>
      </w:r>
      <w:r>
        <w:rPr>
          <w:rFonts w:hint="eastAsia" w:ascii="宋体" w:hAnsi="宋体" w:eastAsia="宋体" w:cs="宋体"/>
          <w:bCs/>
          <w:color w:val="auto"/>
          <w:sz w:val="24"/>
          <w:szCs w:val="24"/>
          <w:highlight w:val="none"/>
        </w:rPr>
        <w:t xml:space="preserve">的黑名单，不得参加</w:t>
      </w:r>
      <w:r>
        <w:rPr>
          <w:rFonts w:hint="eastAsia" w:ascii="宋体" w:hAnsi="宋体" w:eastAsia="宋体" w:cs="宋体"/>
          <w:bCs/>
          <w:color w:val="auto"/>
          <w:sz w:val="24"/>
          <w:szCs w:val="24"/>
          <w:highlight w:val="none"/>
          <w:lang w:eastAsia="zh-CN"/>
        </w:rPr>
        <w:t xml:space="preserve">无锡市梁溪区扬名街道社区卫生服务中心</w:t>
      </w:r>
      <w:r>
        <w:rPr>
          <w:rFonts w:hint="eastAsia" w:ascii="宋体" w:hAnsi="宋体" w:eastAsia="宋体" w:cs="宋体"/>
          <w:bCs/>
          <w:color w:val="auto"/>
          <w:sz w:val="24"/>
          <w:szCs w:val="24"/>
          <w:highlight w:val="none"/>
        </w:rPr>
        <w:t xml:space="preserve">所有招投标活动。</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735"/>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07"/>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07"/>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07"/>
              <w:jc w:val="center"/>
              <w:spacing w:line="360" w:lineRule="auto"/>
              <w:rPr>
                <w:rFonts w:hAnsi="宋体" w:cs="宋体"/>
                <w:color w:val="auto"/>
                <w:szCs w:val="24"/>
                <w:highlight w:val="none"/>
              </w:rPr>
            </w:pPr>
            <w:r>
              <w:rPr>
                <w:rFonts w:hint="eastAsia"/>
                <w:b/>
                <w:bCs w:val="0"/>
                <w:color w:val="auto"/>
                <w:sz w:val="24"/>
                <w:szCs w:val="24"/>
                <w:highlight w:val="none"/>
                <w:lang w:val="en-US" w:eastAsia="zh-CN"/>
              </w:rPr>
              <w:t xml:space="preserve">优惠率填写</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bCs w:val="0"/>
          <w:color w:val="auto"/>
          <w:sz w:val="24"/>
          <w:szCs w:val="24"/>
          <w:highlight w:val="none"/>
          <w:lang w:val="en-US" w:eastAsia="zh-CN"/>
        </w:rPr>
      </w:pPr>
      <w:r/>
      <w:bookmarkStart w:id="150" w:name="_Toc120614284"/>
      <w:r>
        <w:rPr>
          <w:rFonts w:hint="eastAsia"/>
          <w:b/>
          <w:bCs w:val="0"/>
          <w:color w:val="auto"/>
          <w:sz w:val="24"/>
          <w:szCs w:val="24"/>
          <w:highlight w:val="none"/>
          <w:lang w:val="en-US" w:eastAsia="zh-CN"/>
        </w:rPr>
        <w:br w:type="page" w:clear="all"/>
      </w:r>
      <w:r/>
    </w:p>
    <w:p>
      <w:pPr>
        <w:ind w:firstLine="560"/>
        <w:spacing w:line="360" w:lineRule="auto"/>
        <w:rPr>
          <w:rFonts w:ascii="Times New Roman" w:eastAsia="宋体"/>
          <w:b/>
          <w:color w:val="auto"/>
          <w:sz w:val="28"/>
          <w:szCs w:val="28"/>
          <w:highlight w:val="none"/>
        </w:rPr>
      </w:pP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ascii="宋体" w:hAnsi="宋体" w:eastAsia="宋体" w:cs="宋体"/>
          <w:b/>
          <w:color w:val="auto"/>
          <w:sz w:val="28"/>
          <w:szCs w:val="28"/>
          <w:highlight w:val="none"/>
        </w:rPr>
      </w:pPr>
      <w:r>
        <w:rPr>
          <w:rFonts w:hint="eastAsia"/>
          <w:bCs/>
          <w:color w:val="auto"/>
          <w:sz w:val="24"/>
          <w:highlight w:val="none"/>
          <w:lang w:eastAsia="zh-CN"/>
        </w:rPr>
        <w:t xml:space="preserve">投标人</w:t>
      </w:r>
      <w:r>
        <w:rPr>
          <w:rFonts w:hint="eastAsia"/>
          <w:bCs/>
          <w:color w:val="auto"/>
          <w:sz w:val="24"/>
          <w:highlight w:val="none"/>
        </w:rPr>
        <w:t xml:space="preserve">名称（</w:t>
      </w:r>
      <w:r>
        <w:rPr>
          <w:rFonts w:hint="eastAsia"/>
          <w:bCs/>
          <w:color w:val="auto"/>
          <w:sz w:val="24"/>
          <w:highlight w:val="none"/>
          <w:lang w:eastAsia="zh-CN"/>
        </w:rPr>
        <w:t xml:space="preserve">签章</w:t>
      </w:r>
      <w:r>
        <w:rPr>
          <w:rFonts w:hint="eastAsia"/>
          <w:bCs/>
          <w:color w:val="auto"/>
          <w:sz w:val="24"/>
          <w:highlight w:val="none"/>
        </w:rPr>
        <w:t xml:space="preserve">）                                  政府采购编号：</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tbl>
      <w:tblPr>
        <w:tblStyle w:val="735"/>
        <w:tblW w:w="10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
        <w:gridCol w:w="777"/>
        <w:gridCol w:w="1458"/>
        <w:gridCol w:w="879"/>
        <w:gridCol w:w="1234"/>
        <w:gridCol w:w="1234"/>
        <w:gridCol w:w="1234"/>
        <w:gridCol w:w="1234"/>
        <w:gridCol w:w="1234"/>
        <w:gridCol w:w="1234"/>
      </w:tblGrid>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包装单位</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最高限价（元/g、个、对）</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投标报价（元/g、个、对）</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优惠率（%）</w:t>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阿胶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123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八月扎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白残花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白豆蔻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白矾</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百合干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0.1952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0.25112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焙壁虎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0.7893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荜茇</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扁豆衣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冰片</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蚕砂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藏青果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草豆蔻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0.1782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侧柏叶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0.5576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炒白芥子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炒白术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炒补骨脂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炒苍术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炒淡豆豉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0.2722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0.42816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炒海螵蛸</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炒黄柏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0.286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炒麦芽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炒青皮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炒山药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炒薏苡仁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炒泽泻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炒枳壳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炒枳实</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陈棕炭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赤石脂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楮实子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6.786666667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川牛膝</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穿山龙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穿心莲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椿根皮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磁石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0.025864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醋鳖甲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0.2632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醋龟甲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醋乌梅</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0.0538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0.1744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大蓟草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代代花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0.298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丹参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0.211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刀豆壳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灯心草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地丁草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地耳草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0.0598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地枫皮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0.041066667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0.162666667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冬葵子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冬凌草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杜仲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煅磁石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0.020533333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煅代赭石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煅蛤壳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0.023733333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煅珍珠母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煅钟乳石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鹅不食草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0.2312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番白草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防风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0.7056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0.2104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分心木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粉葛</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枫斗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1.0161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凤凰衣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佛耳草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佛手片</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0.10764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茯苓</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浮萍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0.3736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甘草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0.07128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藁本</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葛花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功劳叶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0.1904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狗脊</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枸骨叶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谷精草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贯众炭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广地龙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0.2678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0.1944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鬼针草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桂枝</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蛤黛散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海浮石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海金沙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蒿本</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合欢皮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黑豆衣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红参片</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红豆杉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5.4688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厚朴花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0.3128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葫芦巴</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琥珀粉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0.08052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花生衣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淮小麦</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槐角</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槐米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黄连</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0.477333333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黄芩</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黄芩炭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黄药子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鸡冠花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建曲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0.306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焦稻芽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焦麦芽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0.0195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焦山栀</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接骨木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金蝉花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0.7364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0.04066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金荞麦</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金银花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金樱子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0.09552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荆芥</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荆芥炭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九节菖蒲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0.3088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0.1728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酒炒当归</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0.1696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0.3744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酒黄精</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酒乌梢蛇</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酒萸肉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桔梗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橘叶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苦丁茶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苦楝皮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苦杏仁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0.0719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辣蓼</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老鹳草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雷公藤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荔枝核</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连翘</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莲子肉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0.0905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凌霄花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0.1198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刘寄奴</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六一散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龙齿</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龙胆草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龙眼肉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芦荟</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0.407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0.36928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鹿衔草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律草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绿豆衣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绿梅花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马勃</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蔓荆子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毛冬青</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密蒙花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蜜瓜蒌皮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0.2928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绵马贯众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牡丹皮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木蝴蝶（千张纸）</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0.0498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木馒头</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0.04378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木通</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木贼</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牛膝</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藕节炭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0.158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平地木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蒲公英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0.206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蒲黄炭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荠菜花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千里光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0.0938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0.11056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0.3856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青葙子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清半夏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拳参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1.75668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人中白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人中黄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肉豆蔻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桑螵蛸</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0.362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0.901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山豆根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蛇六谷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蛇莓</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蛇蜕</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生白术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生稻芽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生地黄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生鸡内金</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生麦芽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生牡蛎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失笑散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石斛</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石决明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石楠叶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石上柏</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0.0408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秫米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水飞蓟</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水牛角</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苏木</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娑罗子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太子参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0.327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桃仁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天花粉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天葵子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0.3976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铁树叶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葶苈子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透骨草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0.0344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土鳖虫</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望江南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煨诃子肉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喜树果</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0.268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夏枯草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仙鹤草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香橼皮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0.0584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小蓟草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辛夷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0.0824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0.1352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0.0664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玄参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玄明粉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旋覆花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血余炭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0.075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寻骨风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鸭跖草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0.1984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0.1264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盐杜仲</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盐沙苑子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0.1066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0.229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阳起石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益母草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薏苡仁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银杏叶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油松节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鱼腥草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禹余粮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月季花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0.065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0.165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珍珠母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0.0624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制草乌</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0.1256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0.1296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制附子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0.126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0.0704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制天南星</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0.1032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0.494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制香附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0.0528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炙刺猬皮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0.288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炙甘草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0.0433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0.058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炙麻黄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肿节风</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重楼</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0.876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珠子参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紫贝齿</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0.3456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紫石英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阿胶珠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西洋参</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0.67712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熊胆粉</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煅青礞石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人工牛黄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44.602857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鹿血晶</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艾条</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大蓟炭</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0.114</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煅花蕊石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0.0476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海桐皮</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0.07872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寒水石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0.06626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白槿花</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枳椇子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0.043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大枫子</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gridBefore w:val="1"/>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生麻黄</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0.08747</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240"/>
        </w:trPr>
        <w:tc>
          <w:tcPr>
            <w:gridSpan w:val="2"/>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default" w:ascii="宋体" w:hAnsi="宋体" w:eastAsia="宋体" w:cs="宋体"/>
                <w:b w:val="0"/>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3"/>
            <w:shd w:val="clear" w:color="auto" w:fill="auto"/>
            <w:tcBorders>
              <w:top w:val="single" w:color="auto" w:sz="4" w:space="0"/>
              <w:left w:val="single" w:color="000000" w:sz="4" w:space="0"/>
              <w:bottom w:val="single" w:color="000000" w:sz="4" w:space="0"/>
              <w:right w:val="single" w:color="000000" w:sz="4" w:space="0"/>
            </w:tcBorders>
            <w:tcW w:w="357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w:t>
            </w:r>
            <w:r>
              <w:rPr>
                <w:rFonts w:hint="eastAsia" w:ascii="宋体" w:hAnsi="宋体" w:eastAsia="宋体" w:cs="宋体"/>
                <w:b/>
                <w:bCs/>
                <w:i w:val="0"/>
                <w:iCs w:val="0"/>
                <w:color w:val="auto"/>
                <w:sz w:val="24"/>
                <w:szCs w:val="24"/>
                <w:highlight w:val="none"/>
                <w:u w:val="none"/>
                <w:lang w:val="zh-CN" w:eastAsia="zh-CN" w:bidi="ar"/>
              </w:rPr>
              <w:t xml:space="preserve">名称</w:t>
            </w:r>
            <w:r/>
          </w:p>
        </w:tc>
        <w:tc>
          <w:tcPr>
            <w:gridSpan w:val="2"/>
            <w:shd w:val="clear" w:color="auto" w:fill="auto"/>
            <w:tcBorders>
              <w:top w:val="single" w:color="auto"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最高限价</w:t>
            </w:r>
            <w:r/>
          </w:p>
        </w:tc>
        <w:tc>
          <w:tcPr>
            <w:gridSpan w:val="2"/>
            <w:shd w:val="clear" w:color="auto" w:fill="auto"/>
            <w:tcBorders>
              <w:top w:val="single" w:color="auto" w:sz="4" w:space="0"/>
              <w:left w:val="single" w:color="000000" w:sz="4" w:space="0"/>
              <w:bottom w:val="single" w:color="auto" w:sz="4" w:space="0"/>
              <w:right w:val="single" w:color="000000" w:sz="4" w:space="0"/>
            </w:tcBorders>
            <w:tcW w:w="2468" w:type="dxa"/>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投标报价</w:t>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jc w:val="center"/>
          <w:trHeight w:val="328"/>
        </w:trPr>
        <w:tc>
          <w:tcPr>
            <w:gridSpan w:val="2"/>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b w:val="0"/>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中药临方加工（煎汤）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3元／帖</w:t>
            </w:r>
            <w:r/>
          </w:p>
        </w:tc>
        <w:tc>
          <w:tcPr>
            <w:gridSpan w:val="2"/>
            <w:shd w:val="clear" w:color="auto" w:fill="auto"/>
            <w:tcBorders>
              <w:top w:val="single" w:color="auto"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90"/>
        </w:trPr>
        <w:tc>
          <w:tcPr>
            <w:gridSpan w:val="2"/>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default" w:ascii="宋体" w:hAnsi="宋体" w:eastAsia="宋体" w:cs="宋体"/>
                <w:b w:val="0"/>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中药临方加工（熬膏）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320元／料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90"/>
        </w:trPr>
        <w:tc>
          <w:tcPr>
            <w:gridSpan w:val="2"/>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b w:val="0"/>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中药临方加工（磨粉）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20元/500g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90"/>
        </w:trPr>
        <w:tc>
          <w:tcPr>
            <w:gridSpan w:val="2"/>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b w:val="0"/>
                <w:i w:val="0"/>
                <w:iCs w:val="0"/>
                <w:color w:val="auto"/>
                <w:sz w:val="20"/>
                <w:szCs w:val="20"/>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中药临方加工（制丸）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60元/500g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23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90"/>
        </w:trPr>
        <w:tc>
          <w:tcPr>
            <w:gridSpan w:val="2"/>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71" w:type="dxa"/>
            <w:vAlign w:val="center"/>
            <w:textDirection w:val="lrTb"/>
            <w:noWrap/>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阿胶膏加工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100元/500g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rPr>
          <w:color w:val="auto"/>
          <w:highlight w:val="none"/>
        </w:rPr>
      </w:pPr>
      <w:r>
        <w:rPr>
          <w:color w:val="auto"/>
          <w:highlight w:val="none"/>
        </w:rPr>
      </w:r>
      <w:r/>
    </w:p>
    <w:p>
      <w:pPr>
        <w:ind w:firstLine="482"/>
        <w:spacing w:line="360" w:lineRule="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 xml:space="preserve">注：1）中药饮片：需按照采购人中药饮片清单的最高限价统一优惠率进行报价</w:t>
      </w:r>
      <w:r/>
    </w:p>
    <w:p>
      <w:pPr>
        <w:ind w:firstLine="482"/>
        <w:spacing w:line="360" w:lineRule="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 xml:space="preserve">2）代加工服务：按照最高限价（</w:t>
      </w:r>
      <w:r>
        <w:rPr>
          <w:rFonts w:hint="eastAsia" w:ascii="Times New Roman" w:hAnsi="Times New Roman" w:eastAsia="宋体" w:cs="Times New Roman"/>
          <w:b/>
          <w:color w:val="auto"/>
          <w:sz w:val="24"/>
          <w:szCs w:val="24"/>
          <w:highlight w:val="none"/>
        </w:rPr>
        <w:t xml:space="preserve">中药临方加工（煎汤）不高于3元／</w:t>
      </w:r>
      <w:r>
        <w:rPr>
          <w:rFonts w:hint="eastAsia" w:ascii="Times New Roman" w:hAnsi="Times New Roman" w:eastAsia="宋体" w:cs="Times New Roman"/>
          <w:b/>
          <w:color w:val="auto"/>
          <w:sz w:val="24"/>
          <w:szCs w:val="24"/>
          <w:highlight w:val="none"/>
          <w:lang w:val="en-US" w:eastAsia="zh-CN"/>
        </w:rPr>
        <w:t xml:space="preserve">帖</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rPr>
        <w:t xml:space="preserve">中药临方加工（熬膏）不高于</w:t>
      </w:r>
      <w:r>
        <w:rPr>
          <w:rFonts w:hint="eastAsia" w:ascii="Times New Roman" w:hAnsi="Times New Roman" w:eastAsia="宋体" w:cs="Times New Roman"/>
          <w:b/>
          <w:color w:val="auto"/>
          <w:sz w:val="24"/>
          <w:szCs w:val="24"/>
          <w:highlight w:val="none"/>
          <w:lang w:val="en-US" w:eastAsia="zh-CN"/>
        </w:rPr>
        <w:t xml:space="preserve">32</w:t>
      </w:r>
      <w:r>
        <w:rPr>
          <w:rFonts w:hint="eastAsia" w:ascii="Times New Roman" w:hAnsi="Times New Roman" w:eastAsia="宋体" w:cs="Times New Roman"/>
          <w:b/>
          <w:color w:val="auto"/>
          <w:sz w:val="24"/>
          <w:szCs w:val="24"/>
          <w:highlight w:val="none"/>
        </w:rPr>
        <w:t xml:space="preserve">0元／料</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rPr>
        <w:t xml:space="preserve">中药临方加工（磨粉）不高于</w:t>
      </w:r>
      <w:r>
        <w:rPr>
          <w:rFonts w:hint="eastAsia" w:ascii="Times New Roman" w:hAnsi="Times New Roman" w:eastAsia="宋体" w:cs="Times New Roman"/>
          <w:b/>
          <w:color w:val="auto"/>
          <w:sz w:val="24"/>
          <w:szCs w:val="24"/>
          <w:highlight w:val="none"/>
          <w:lang w:val="en-US" w:eastAsia="zh-CN"/>
        </w:rPr>
        <w:t xml:space="preserve">20</w:t>
      </w:r>
      <w:r>
        <w:rPr>
          <w:rFonts w:hint="eastAsia" w:ascii="Times New Roman" w:hAnsi="Times New Roman" w:eastAsia="宋体" w:cs="Times New Roman"/>
          <w:b/>
          <w:color w:val="auto"/>
          <w:sz w:val="24"/>
          <w:szCs w:val="24"/>
          <w:highlight w:val="none"/>
        </w:rPr>
        <w:t xml:space="preserve">元/</w:t>
      </w:r>
      <w:r>
        <w:rPr>
          <w:rFonts w:hint="eastAsia" w:ascii="Times New Roman" w:hAnsi="Times New Roman" w:eastAsia="宋体" w:cs="Times New Roman"/>
          <w:b/>
          <w:color w:val="auto"/>
          <w:sz w:val="24"/>
          <w:szCs w:val="24"/>
          <w:highlight w:val="none"/>
          <w:lang w:val="en-US" w:eastAsia="zh-CN"/>
        </w:rPr>
        <w:t xml:space="preserve">500</w:t>
      </w:r>
      <w:r>
        <w:rPr>
          <w:rFonts w:hint="eastAsia" w:ascii="Times New Roman" w:hAnsi="Times New Roman" w:eastAsia="宋体" w:cs="Times New Roman"/>
          <w:b/>
          <w:color w:val="auto"/>
          <w:sz w:val="24"/>
          <w:szCs w:val="24"/>
          <w:highlight w:val="none"/>
        </w:rPr>
        <w:t xml:space="preserve">g</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rPr>
        <w:t xml:space="preserve">中药临方加工（制丸）不高于</w:t>
      </w:r>
      <w:r>
        <w:rPr>
          <w:rFonts w:hint="eastAsia" w:ascii="Times New Roman" w:hAnsi="Times New Roman" w:eastAsia="宋体" w:cs="Times New Roman"/>
          <w:b/>
          <w:color w:val="auto"/>
          <w:sz w:val="24"/>
          <w:szCs w:val="24"/>
          <w:highlight w:val="none"/>
          <w:lang w:val="en-US" w:eastAsia="zh-CN"/>
        </w:rPr>
        <w:t xml:space="preserve">6</w:t>
      </w:r>
      <w:r>
        <w:rPr>
          <w:rFonts w:hint="eastAsia" w:ascii="Times New Roman" w:hAnsi="Times New Roman" w:eastAsia="宋体" w:cs="Times New Roman"/>
          <w:b/>
          <w:color w:val="auto"/>
          <w:sz w:val="24"/>
          <w:szCs w:val="24"/>
          <w:highlight w:val="none"/>
        </w:rPr>
        <w:t xml:space="preserve">0元/</w:t>
      </w:r>
      <w:r>
        <w:rPr>
          <w:rFonts w:hint="eastAsia" w:ascii="Times New Roman" w:hAnsi="Times New Roman" w:eastAsia="宋体" w:cs="Times New Roman"/>
          <w:b/>
          <w:color w:val="auto"/>
          <w:sz w:val="24"/>
          <w:szCs w:val="24"/>
          <w:highlight w:val="none"/>
          <w:lang w:val="en-US" w:eastAsia="zh-CN"/>
        </w:rPr>
        <w:t xml:space="preserve">500</w:t>
      </w:r>
      <w:r>
        <w:rPr>
          <w:rFonts w:hint="eastAsia" w:ascii="Times New Roman" w:hAnsi="Times New Roman" w:eastAsia="宋体" w:cs="Times New Roman"/>
          <w:b/>
          <w:color w:val="auto"/>
          <w:sz w:val="24"/>
          <w:szCs w:val="24"/>
          <w:highlight w:val="none"/>
        </w:rPr>
        <w:t xml:space="preserve">g</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阿胶膏加工不高于100元/500g），统一优惠率进行报价。</w:t>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 xml:space="preserve">3）中药饮片和代加工服务均采用统一优惠率进行报价，请供应商自行考虑。</w:t>
      </w:r>
      <w:r/>
    </w:p>
    <w:p>
      <w:pPr>
        <w:ind w:firstLine="482"/>
        <w:spacing w:line="360" w:lineRule="auto"/>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 xml:space="preserve">4）本次投报的是优惠率，如折扣率为40%，则报价表中优惠率填写60%；如打四折，则报价表中优惠率一栏填写60%，以此为例。</w:t>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、投标偏离表（给定格式）：</w:t>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3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50"/>
      <w:r/>
      <w:bookmarkStart w:id="151" w:name="_Hlt26671374"/>
      <w:r/>
      <w:bookmarkEnd w:id="151"/>
      <w:r/>
      <w:bookmarkStart w:id="152" w:name="_格式2__法定代表人授权书"/>
      <w:r/>
      <w:bookmarkEnd w:id="152"/>
      <w:r/>
      <w:bookmarkStart w:id="153" w:name="_Hlt26955066"/>
      <w:r/>
      <w:bookmarkEnd w:id="153"/>
      <w:r/>
      <w:bookmarkStart w:id="154" w:name="_Hlt26609389"/>
      <w:r/>
      <w:bookmarkEnd w:id="154"/>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、项目人员配置表（格式）</w:t>
      </w:r>
      <w:r/>
    </w:p>
    <w:p>
      <w:pPr>
        <w:jc w:val="cente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35"/>
        <w:tblW w:w="96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258"/>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258"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258"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258"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258"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258"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258"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sectPr>
      <w:footerReference w:type="default" r:id="rId15"/>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Style w:val="847"/>
      </w:rPr>
      <w:framePr w:wrap="around" w:vAnchor="text" w:hAnchor="margin" w:xAlign="center" w:y="1"/>
    </w:pPr>
    <w:r>
      <w:rPr>
        <w:rStyle w:val="847"/>
      </w:rPr>
      <w:fldChar w:fldCharType="begin"/>
    </w:r>
    <w:r>
      <w:rPr>
        <w:rStyle w:val="847"/>
      </w:rPr>
      <w:instrText xml:space="preserve">PAGE  </w:instrText>
    </w:r>
    <w:r>
      <w:rPr>
        <w:rStyle w:val="847"/>
      </w:rPr>
      <w:fldChar w:fldCharType="separate"/>
    </w:r>
    <w:r>
      <w:rPr>
        <w:rStyle w:val="847"/>
      </w:rPr>
      <w:t xml:space="preserve">1</w:t>
    </w:r>
    <w:r>
      <w:rPr>
        <w:rStyle w:val="847"/>
      </w:rPr>
      <w:fldChar w:fldCharType="end"/>
    </w:r>
    <w:r/>
  </w:p>
  <w:p>
    <w:pPr>
      <w:pStyle w:val="81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2930559</wp:posOffset>
              </wp:positionH>
              <wp:positionV relativeFrom="paragraph">
                <wp:posOffset>217170</wp:posOffset>
              </wp:positionV>
              <wp:extent cx="165385" cy="1314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1" flipV="0">
                        <a:off x="0" y="0"/>
                        <a:ext cx="165384" cy="131433"/>
                      </a:xfrm>
                      <a:prstGeom prst="rect">
                        <a:avLst/>
                      </a:prstGeom>
                      <a:noFill/>
                      <a:ln>
                        <a:noFill/>
                      </a:ln>
                      <a:effectLst/>
                    </wps:spPr>
                    <wps:txbx>
                      <w:txbxContent>
                        <w:p>
                          <w:pPr>
                            <w:pStyle w:val="81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55</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30.8pt;mso-position-horizontal:absolute;mso-position-vertical-relative:text;margin-top:17.1pt;mso-position-vertical:absolute;width:13.0pt;height:10.3pt;mso-wrap-distance-left:9.0pt;mso-wrap-distance-top:0.0pt;mso-wrap-distance-right:9.0pt;mso-wrap-distance-bottom:0.0pt;flip:x;visibility:visible;" filled="f" stroked="f">
              <v:textbox inset="0,0,0,0">
                <w:txbxContent>
                  <w:p>
                    <w:pPr>
                      <w:pStyle w:val="81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55</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hint="default" w:ascii="宋体" w:hAnsi="宋体" w:eastAsia="宋体" w:cs="宋体"/>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1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pStyle w:val="911"/>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7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67"/>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3"/>
      <w:isLgl w:val="false"/>
      <w:suff w:val="nothing"/>
      <w:lvlText w:val=""/>
      <w:lvlJc w:val="left"/>
      <w:pPr>
        <w:ind w:left="0" w:firstLine="0"/>
      </w:pPr>
      <w:rPr>
        <w:rFonts w:hint="eastAsia"/>
      </w:rPr>
    </w:lvl>
    <w:lvl w:ilvl="6">
      <w:start w:val="1"/>
      <w:numFmt w:val="decimal"/>
      <w:pStyle w:val="1095"/>
      <w:isLgl w:val="false"/>
      <w:suff w:val="nothing"/>
      <w:lvlText w:val=""/>
      <w:lvlJc w:val="left"/>
      <w:pPr>
        <w:ind w:left="0" w:firstLine="0"/>
      </w:pPr>
      <w:rPr>
        <w:rFonts w:hint="eastAsia"/>
      </w:rPr>
    </w:lvl>
    <w:lvl w:ilvl="7">
      <w:start w:val="1"/>
      <w:numFmt w:val="decimal"/>
      <w:pStyle w:val="1097"/>
      <w:isLgl w:val="false"/>
      <w:suff w:val="nothing"/>
      <w:lvlText w:val=""/>
      <w:lvlJc w:val="left"/>
      <w:pPr>
        <w:ind w:left="0" w:firstLine="0"/>
      </w:pPr>
      <w:rPr>
        <w:rFonts w:hint="eastAsia"/>
      </w:rPr>
    </w:lvl>
    <w:lvl w:ilvl="8">
      <w:start w:val="1"/>
      <w:numFmt w:val="decimal"/>
      <w:pStyle w:val="1099"/>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7"/>
  </w:num>
  <w:num w:numId="2">
    <w:abstractNumId w:val="3"/>
  </w:num>
  <w:num w:numId="3">
    <w:abstractNumId w:val="13"/>
  </w:num>
  <w:num w:numId="4">
    <w:abstractNumId w:val="2"/>
  </w:num>
  <w:num w:numId="5">
    <w:abstractNumId w:val="12"/>
  </w:num>
  <w:num w:numId="6">
    <w:abstractNumId w:val="9"/>
  </w:num>
  <w:num w:numId="7">
    <w:abstractNumId w:val="0"/>
  </w:num>
  <w:num w:numId="8">
    <w:abstractNumId w:val="8"/>
  </w:num>
  <w:num w:numId="9">
    <w:abstractNumId w:val="14"/>
  </w:num>
  <w:num w:numId="10">
    <w:abstractNumId w:val="6"/>
  </w:num>
  <w:num w:numId="11">
    <w:abstractNumId w:val="5"/>
  </w:num>
  <w:num w:numId="12">
    <w:abstractNumId w:val="11"/>
  </w:num>
  <w:num w:numId="13">
    <w:abstractNumId w:val="4"/>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24" w:default="1">
    <w:name w:val="Normal"/>
    <w:uiPriority w:val="0"/>
    <w:qFormat/>
    <w:pPr>
      <w:jc w:val="both"/>
      <w:widowControl w:val="off"/>
    </w:pPr>
    <w:rPr>
      <w:rFonts w:ascii="Calibri" w:hAnsi="Calibri" w:eastAsia="Arial" w:cs="Times New Roman"/>
      <w:sz w:val="21"/>
      <w:szCs w:val="22"/>
      <w:lang w:val="en-US" w:eastAsia="zh-CN" w:bidi="ar-SA"/>
    </w:rPr>
  </w:style>
  <w:style w:type="paragraph" w:styleId="725">
    <w:name w:val="Heading 1"/>
    <w:basedOn w:val="724"/>
    <w:next w:val="724"/>
    <w:uiPriority w:val="9"/>
    <w:qFormat/>
    <w:pPr>
      <w:keepLines/>
      <w:keepNext/>
      <w:spacing w:before="480" w:after="200"/>
      <w:outlineLvl w:val="0"/>
    </w:pPr>
    <w:rPr>
      <w:rFonts w:ascii="Arial" w:hAnsi="Arial" w:cs="Arial"/>
      <w:sz w:val="40"/>
      <w:szCs w:val="40"/>
    </w:rPr>
  </w:style>
  <w:style w:type="paragraph" w:styleId="726">
    <w:name w:val="Heading 2"/>
    <w:basedOn w:val="724"/>
    <w:next w:val="724"/>
    <w:uiPriority w:val="9"/>
    <w:unhideWhenUsed/>
    <w:qFormat/>
    <w:pPr>
      <w:keepLines/>
      <w:keepNext/>
      <w:spacing w:before="360" w:after="200"/>
      <w:outlineLvl w:val="1"/>
    </w:pPr>
    <w:rPr>
      <w:rFonts w:ascii="Arial" w:hAnsi="Arial" w:cs="Arial"/>
      <w:sz w:val="34"/>
    </w:rPr>
  </w:style>
  <w:style w:type="paragraph" w:styleId="727">
    <w:name w:val="Heading 3"/>
    <w:basedOn w:val="724"/>
    <w:next w:val="724"/>
    <w:uiPriority w:val="9"/>
    <w:unhideWhenUsed/>
    <w:qFormat/>
    <w:pPr>
      <w:keepLines/>
      <w:keepNext/>
      <w:spacing w:before="320" w:after="200"/>
      <w:outlineLvl w:val="2"/>
    </w:pPr>
    <w:rPr>
      <w:rFonts w:ascii="Arial" w:hAnsi="Arial" w:cs="Arial"/>
      <w:sz w:val="30"/>
      <w:szCs w:val="30"/>
    </w:rPr>
  </w:style>
  <w:style w:type="paragraph" w:styleId="728">
    <w:name w:val="Heading 4"/>
    <w:basedOn w:val="724"/>
    <w:next w:val="724"/>
    <w:uiPriority w:val="9"/>
    <w:unhideWhenUsed/>
    <w:qFormat/>
    <w:pPr>
      <w:keepLines/>
      <w:keepNext/>
      <w:spacing w:before="320" w:after="200"/>
      <w:outlineLvl w:val="3"/>
    </w:pPr>
    <w:rPr>
      <w:rFonts w:ascii="Arial" w:hAnsi="Arial" w:cs="Arial"/>
      <w:b/>
      <w:bCs/>
      <w:sz w:val="26"/>
      <w:szCs w:val="26"/>
    </w:rPr>
  </w:style>
  <w:style w:type="paragraph" w:styleId="729">
    <w:name w:val="Heading 5"/>
    <w:basedOn w:val="724"/>
    <w:next w:val="724"/>
    <w:uiPriority w:val="9"/>
    <w:unhideWhenUsed/>
    <w:qFormat/>
    <w:pPr>
      <w:keepLines/>
      <w:keepNext/>
      <w:spacing w:before="320" w:after="200"/>
      <w:outlineLvl w:val="4"/>
    </w:pPr>
    <w:rPr>
      <w:rFonts w:ascii="Arial" w:hAnsi="Arial" w:cs="Arial"/>
      <w:b/>
      <w:bCs/>
      <w:sz w:val="24"/>
      <w:szCs w:val="24"/>
    </w:rPr>
  </w:style>
  <w:style w:type="paragraph" w:styleId="730">
    <w:name w:val="Heading 6"/>
    <w:basedOn w:val="724"/>
    <w:next w:val="724"/>
    <w:uiPriority w:val="9"/>
    <w:unhideWhenUsed/>
    <w:qFormat/>
    <w:pPr>
      <w:keepLines/>
      <w:keepNext/>
      <w:spacing w:before="320" w:after="200"/>
      <w:outlineLvl w:val="5"/>
    </w:pPr>
    <w:rPr>
      <w:rFonts w:ascii="Arial" w:hAnsi="Arial" w:cs="Arial"/>
      <w:b/>
      <w:bCs/>
      <w:sz w:val="22"/>
    </w:rPr>
  </w:style>
  <w:style w:type="paragraph" w:styleId="731">
    <w:name w:val="Heading 7"/>
    <w:basedOn w:val="724"/>
    <w:next w:val="724"/>
    <w:uiPriority w:val="9"/>
    <w:unhideWhenUsed/>
    <w:qFormat/>
    <w:pPr>
      <w:keepLines/>
      <w:keepNext/>
      <w:spacing w:before="320" w:after="200"/>
      <w:outlineLvl w:val="6"/>
    </w:pPr>
    <w:rPr>
      <w:rFonts w:ascii="Arial" w:hAnsi="Arial" w:cs="Arial"/>
      <w:b/>
      <w:bCs/>
      <w:i/>
      <w:iCs/>
      <w:sz w:val="22"/>
    </w:rPr>
  </w:style>
  <w:style w:type="paragraph" w:styleId="732">
    <w:name w:val="Heading 8"/>
    <w:basedOn w:val="724"/>
    <w:next w:val="724"/>
    <w:uiPriority w:val="9"/>
    <w:unhideWhenUsed/>
    <w:qFormat/>
    <w:pPr>
      <w:keepLines/>
      <w:keepNext/>
      <w:spacing w:before="320" w:after="200"/>
      <w:outlineLvl w:val="7"/>
    </w:pPr>
    <w:rPr>
      <w:rFonts w:ascii="Arial" w:hAnsi="Arial" w:cs="Arial"/>
      <w:i/>
      <w:iCs/>
      <w:sz w:val="22"/>
    </w:rPr>
  </w:style>
  <w:style w:type="paragraph" w:styleId="733">
    <w:name w:val="Heading 9"/>
    <w:basedOn w:val="724"/>
    <w:next w:val="724"/>
    <w:uiPriority w:val="9"/>
    <w:unhideWhenUsed/>
    <w:qFormat/>
    <w:pPr>
      <w:keepLines/>
      <w:keepNext/>
      <w:spacing w:before="320" w:after="200"/>
      <w:outlineLvl w:val="8"/>
    </w:pPr>
    <w:rPr>
      <w:rFonts w:ascii="Arial" w:hAnsi="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annotation text"/>
    <w:basedOn w:val="724"/>
    <w:uiPriority w:val="99"/>
    <w:semiHidden/>
    <w:unhideWhenUsed/>
    <w:qFormat/>
    <w:pPr>
      <w:jc w:val="left"/>
    </w:pPr>
  </w:style>
  <w:style w:type="paragraph" w:styleId="739">
    <w:name w:val="Body Text"/>
    <w:basedOn w:val="724"/>
    <w:next w:val="724"/>
    <w:uiPriority w:val="99"/>
    <w:qFormat/>
    <w:rPr>
      <w:rFonts w:ascii="华文中宋" w:hAnsi="Times New Roman" w:eastAsia="华文中宋"/>
      <w:bCs/>
      <w:sz w:val="28"/>
      <w:szCs w:val="20"/>
    </w:rPr>
  </w:style>
  <w:style w:type="paragraph" w:styleId="740">
    <w:name w:val="Body Text Indent"/>
    <w:basedOn w:val="724"/>
    <w:next w:val="741"/>
    <w:uiPriority w:val="99"/>
    <w:qFormat/>
    <w:pPr>
      <w:ind w:firstLine="576"/>
    </w:pPr>
    <w:rPr>
      <w:rFonts w:ascii="Times New Roman" w:hAnsi="Times New Roman" w:eastAsia="宋体"/>
      <w:b/>
      <w:sz w:val="30"/>
      <w:szCs w:val="20"/>
    </w:rPr>
  </w:style>
  <w:style w:type="paragraph" w:styleId="741">
    <w:name w:val="envelope return"/>
    <w:basedOn w:val="724"/>
    <w:uiPriority w:val="99"/>
    <w:unhideWhenUsed/>
    <w:qFormat/>
    <w:rPr>
      <w:rFonts w:ascii="Arial" w:hAnsi="Arial"/>
    </w:rPr>
  </w:style>
  <w:style w:type="paragraph" w:styleId="742">
    <w:name w:val="toc 5"/>
    <w:basedOn w:val="724"/>
    <w:next w:val="724"/>
    <w:uiPriority w:val="39"/>
    <w:unhideWhenUsed/>
    <w:qFormat/>
    <w:pPr>
      <w:ind w:left="1134"/>
      <w:spacing w:after="57"/>
    </w:pPr>
  </w:style>
  <w:style w:type="paragraph" w:styleId="743">
    <w:name w:val="toc 3"/>
    <w:basedOn w:val="724"/>
    <w:next w:val="724"/>
    <w:uiPriority w:val="39"/>
    <w:unhideWhenUsed/>
    <w:qFormat/>
    <w:pPr>
      <w:ind w:left="567"/>
      <w:spacing w:after="57"/>
    </w:pPr>
  </w:style>
  <w:style w:type="paragraph" w:styleId="744">
    <w:name w:val="toc 8"/>
    <w:basedOn w:val="724"/>
    <w:next w:val="724"/>
    <w:uiPriority w:val="39"/>
    <w:unhideWhenUsed/>
    <w:qFormat/>
    <w:pPr>
      <w:ind w:left="1984"/>
      <w:spacing w:after="57"/>
    </w:pPr>
  </w:style>
  <w:style w:type="paragraph" w:styleId="745">
    <w:name w:val="endnote text"/>
    <w:basedOn w:val="724"/>
    <w:uiPriority w:val="99"/>
    <w:semiHidden/>
    <w:unhideWhenUsed/>
    <w:qFormat/>
    <w:rPr>
      <w:sz w:val="20"/>
    </w:rPr>
  </w:style>
  <w:style w:type="paragraph" w:styleId="746">
    <w:name w:val="Balloon Text"/>
    <w:basedOn w:val="724"/>
    <w:link w:val="1195"/>
    <w:uiPriority w:val="99"/>
    <w:semiHidden/>
    <w:unhideWhenUsed/>
    <w:qFormat/>
    <w:rPr>
      <w:sz w:val="18"/>
      <w:szCs w:val="18"/>
    </w:rPr>
  </w:style>
  <w:style w:type="paragraph" w:styleId="747">
    <w:name w:val="Footer"/>
    <w:basedOn w:val="724"/>
    <w:uiPriority w:val="99"/>
    <w:unhideWhenUsed/>
    <w:qFormat/>
    <w:pPr>
      <w:tabs>
        <w:tab w:val="center" w:pos="7143" w:leader="none"/>
        <w:tab w:val="right" w:pos="14287" w:leader="none"/>
      </w:tabs>
    </w:pPr>
  </w:style>
  <w:style w:type="paragraph" w:styleId="748">
    <w:name w:val="Header"/>
    <w:basedOn w:val="724"/>
    <w:uiPriority w:val="99"/>
    <w:unhideWhenUsed/>
    <w:qFormat/>
    <w:pPr>
      <w:tabs>
        <w:tab w:val="center" w:pos="7143" w:leader="none"/>
        <w:tab w:val="right" w:pos="14287" w:leader="none"/>
      </w:tabs>
    </w:pPr>
  </w:style>
  <w:style w:type="paragraph" w:styleId="749">
    <w:name w:val="toc 1"/>
    <w:basedOn w:val="724"/>
    <w:next w:val="724"/>
    <w:uiPriority w:val="39"/>
    <w:unhideWhenUsed/>
    <w:qFormat/>
    <w:pPr>
      <w:spacing w:after="57"/>
    </w:pPr>
  </w:style>
  <w:style w:type="paragraph" w:styleId="750">
    <w:name w:val="toc 4"/>
    <w:basedOn w:val="724"/>
    <w:next w:val="724"/>
    <w:uiPriority w:val="39"/>
    <w:unhideWhenUsed/>
    <w:qFormat/>
    <w:pPr>
      <w:ind w:left="850"/>
      <w:spacing w:after="57"/>
    </w:pPr>
  </w:style>
  <w:style w:type="paragraph" w:styleId="751">
    <w:name w:val="Subtitle"/>
    <w:basedOn w:val="724"/>
    <w:next w:val="724"/>
    <w:uiPriority w:val="11"/>
    <w:qFormat/>
    <w:pPr>
      <w:spacing w:before="200" w:after="200"/>
    </w:pPr>
    <w:rPr>
      <w:sz w:val="24"/>
      <w:szCs w:val="24"/>
    </w:rPr>
  </w:style>
  <w:style w:type="paragraph" w:styleId="752">
    <w:name w:val="List"/>
    <w:basedOn w:val="724"/>
    <w:uiPriority w:val="0"/>
    <w:qFormat/>
    <w:pPr>
      <w:ind w:left="360" w:hanging="360"/>
      <w:spacing w:after="20" w:line="288" w:lineRule="auto"/>
      <w:tabs>
        <w:tab w:val="left" w:pos="360" w:leader="none"/>
      </w:tabs>
    </w:pPr>
    <w:rPr>
      <w:szCs w:val="20"/>
      <w:lang w:val="en-GB"/>
    </w:rPr>
  </w:style>
  <w:style w:type="paragraph" w:styleId="753">
    <w:name w:val="footnote text"/>
    <w:basedOn w:val="724"/>
    <w:uiPriority w:val="99"/>
    <w:semiHidden/>
    <w:unhideWhenUsed/>
    <w:qFormat/>
    <w:pPr>
      <w:spacing w:after="40"/>
    </w:pPr>
    <w:rPr>
      <w:sz w:val="18"/>
    </w:rPr>
  </w:style>
  <w:style w:type="paragraph" w:styleId="754">
    <w:name w:val="toc 6"/>
    <w:basedOn w:val="724"/>
    <w:next w:val="724"/>
    <w:uiPriority w:val="39"/>
    <w:unhideWhenUsed/>
    <w:qFormat/>
    <w:pPr>
      <w:ind w:left="1417"/>
      <w:spacing w:after="57"/>
    </w:pPr>
  </w:style>
  <w:style w:type="paragraph" w:styleId="755">
    <w:name w:val="table of figures"/>
    <w:basedOn w:val="724"/>
    <w:next w:val="724"/>
    <w:uiPriority w:val="99"/>
    <w:unhideWhenUsed/>
    <w:qFormat/>
  </w:style>
  <w:style w:type="paragraph" w:styleId="756">
    <w:name w:val="toc 2"/>
    <w:basedOn w:val="724"/>
    <w:next w:val="724"/>
    <w:uiPriority w:val="39"/>
    <w:unhideWhenUsed/>
    <w:qFormat/>
    <w:pPr>
      <w:ind w:left="283"/>
      <w:spacing w:after="57"/>
    </w:pPr>
  </w:style>
  <w:style w:type="paragraph" w:styleId="757">
    <w:name w:val="toc 9"/>
    <w:basedOn w:val="724"/>
    <w:next w:val="724"/>
    <w:uiPriority w:val="39"/>
    <w:unhideWhenUsed/>
    <w:qFormat/>
    <w:pPr>
      <w:ind w:left="2268"/>
      <w:spacing w:after="57"/>
    </w:pPr>
  </w:style>
  <w:style w:type="paragraph" w:styleId="758">
    <w:name w:val="Normal (Web)"/>
    <w:basedOn w:val="724"/>
    <w:uiPriority w:val="0"/>
    <w:qFormat/>
    <w:pPr>
      <w:ind w:firstLine="420"/>
      <w:jc w:val="left"/>
      <w:spacing w:before="100" w:beforeAutospacing="1" w:after="100" w:afterAutospacing="1" w:line="288" w:lineRule="auto"/>
      <w:widowControl/>
    </w:pPr>
    <w:rPr>
      <w:rFonts w:ascii="宋体" w:hAnsi="宋体"/>
      <w:sz w:val="24"/>
    </w:rPr>
  </w:style>
  <w:style w:type="paragraph" w:styleId="759">
    <w:name w:val="Title"/>
    <w:basedOn w:val="724"/>
    <w:next w:val="724"/>
    <w:uiPriority w:val="10"/>
    <w:qFormat/>
    <w:pPr>
      <w:contextualSpacing/>
      <w:spacing w:before="300" w:after="200"/>
    </w:pPr>
    <w:rPr>
      <w:sz w:val="48"/>
      <w:szCs w:val="48"/>
    </w:rPr>
  </w:style>
  <w:style w:type="paragraph" w:styleId="760">
    <w:name w:val="Body Text First Indent"/>
    <w:basedOn w:val="739"/>
    <w:uiPriority w:val="99"/>
    <w:unhideWhenUsed/>
    <w:qFormat/>
    <w:pPr>
      <w:ind w:firstLine="420"/>
      <w:spacing w:after="120"/>
    </w:pPr>
    <w:rPr>
      <w:rFonts w:ascii="Calibri" w:hAnsi="Calibri" w:eastAsia="宋体"/>
      <w:sz w:val="21"/>
      <w:szCs w:val="22"/>
    </w:rPr>
  </w:style>
  <w:style w:type="paragraph" w:styleId="761">
    <w:name w:val="Body Text First Indent 2"/>
    <w:basedOn w:val="740"/>
    <w:next w:val="724"/>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4"/>
    <w:uiPriority w:val="22"/>
    <w:qFormat/>
    <w:rPr>
      <w:b/>
    </w:rPr>
  </w:style>
  <w:style w:type="character" w:styleId="764">
    <w:name w:val="endnote reference"/>
    <w:uiPriority w:val="99"/>
    <w:semiHidden/>
    <w:unhideWhenUsed/>
    <w:qFormat/>
    <w:rPr>
      <w:vertAlign w:val="superscript"/>
    </w:rPr>
  </w:style>
  <w:style w:type="character" w:styleId="765">
    <w:name w:val="Emphasis"/>
    <w:uiPriority w:val="0"/>
    <w:qFormat/>
    <w:rPr>
      <w:rFonts w:ascii="Times New Roman" w:hAnsi="Times New Roman" w:eastAsia="宋体" w:cs="Times New Roman"/>
      <w:i/>
    </w:rPr>
  </w:style>
  <w:style w:type="character" w:styleId="766">
    <w:name w:val="Hyperlink"/>
    <w:basedOn w:val="734"/>
    <w:uiPriority w:val="99"/>
    <w:unhideWhenUsed/>
    <w:qFormat/>
    <w:rPr>
      <w:color w:val="0000ff" w:themeColor="hyperlink"/>
      <w:u w:val="single"/>
      <w14:textFill>
        <w14:solidFill>
          <w14:schemeClr w14:val="hlink"/>
        </w14:solidFill>
      </w14:textFill>
    </w:rPr>
  </w:style>
  <w:style w:type="character" w:styleId="767">
    <w:name w:val="annotation reference"/>
    <w:basedOn w:val="734"/>
    <w:uiPriority w:val="99"/>
    <w:semiHidden/>
    <w:unhideWhenUsed/>
    <w:qFormat/>
    <w:rPr>
      <w:sz w:val="21"/>
      <w:szCs w:val="21"/>
    </w:rPr>
  </w:style>
  <w:style w:type="character" w:styleId="768">
    <w:name w:val="footnote reference"/>
    <w:uiPriority w:val="99"/>
    <w:unhideWhenUsed/>
    <w:qFormat/>
    <w:rPr>
      <w:vertAlign w:val="superscript"/>
    </w:rPr>
  </w:style>
  <w:style w:type="paragraph" w:styleId="769" w:customStyle="1">
    <w:name w:val="标题 111"/>
    <w:basedOn w:val="724"/>
    <w:next w:val="724"/>
    <w:link w:val="782"/>
    <w:uiPriority w:val="9"/>
    <w:qFormat/>
    <w:pPr>
      <w:jc w:val="center"/>
      <w:keepNext/>
      <w:outlineLvl w:val="0"/>
    </w:pPr>
    <w:rPr>
      <w:rFonts w:ascii="楷体_GB2312" w:hAnsi="Times New Roman" w:eastAsia="楷体_GB2312"/>
      <w:b/>
      <w:sz w:val="28"/>
      <w:szCs w:val="20"/>
    </w:rPr>
  </w:style>
  <w:style w:type="paragraph" w:styleId="770" w:customStyle="1">
    <w:name w:val="标题 211"/>
    <w:basedOn w:val="724"/>
    <w:next w:val="724"/>
    <w:link w:val="783"/>
    <w:uiPriority w:val="9"/>
    <w:qFormat/>
    <w:pPr>
      <w:jc w:val="center"/>
      <w:keepNext/>
      <w:outlineLvl w:val="1"/>
    </w:pPr>
    <w:rPr>
      <w:rFonts w:ascii="楷体_GB2312" w:hAnsi="Times New Roman" w:eastAsia="楷体_GB2312"/>
      <w:b/>
      <w:bCs/>
      <w:sz w:val="18"/>
      <w:szCs w:val="20"/>
    </w:rPr>
  </w:style>
  <w:style w:type="paragraph" w:styleId="771" w:customStyle="1">
    <w:name w:val="标题 311"/>
    <w:basedOn w:val="772"/>
    <w:next w:val="724"/>
    <w:link w:val="785"/>
    <w:uiPriority w:val="9"/>
    <w:qFormat/>
    <w:pPr>
      <w:jc w:val="left"/>
      <w:keepNext/>
    </w:pPr>
    <w:rPr>
      <w:rFonts w:ascii="Arial" w:hAnsi="Arial" w:eastAsia="Arial"/>
      <w:bCs/>
      <w:sz w:val="24"/>
      <w:szCs w:val="24"/>
      <w:lang w:eastAsia="zh-CN"/>
    </w:rPr>
  </w:style>
  <w:style w:type="paragraph" w:styleId="772" w:customStyle="1">
    <w:name w:val="Cn Heading3"/>
    <w:basedOn w:val="773"/>
    <w:uiPriority w:val="0"/>
    <w:qFormat/>
    <w:pPr>
      <w:ind w:firstLine="0"/>
      <w:spacing w:line="480" w:lineRule="auto"/>
      <w:outlineLvl w:val="2"/>
    </w:pPr>
    <w:rPr>
      <w:rFonts w:ascii="微软雅黑" w:hAnsi="微软雅黑" w:eastAsia="微软雅黑"/>
      <w:b/>
      <w:sz w:val="28"/>
      <w:szCs w:val="28"/>
      <w:lang w:eastAsia="ja-JP"/>
    </w:rPr>
  </w:style>
  <w:style w:type="paragraph" w:styleId="773" w:customStyle="1">
    <w:name w:val="列出段落1"/>
    <w:basedOn w:val="724"/>
    <w:link w:val="784"/>
    <w:uiPriority w:val="0"/>
    <w:qFormat/>
    <w:pPr>
      <w:ind w:firstLine="420"/>
      <w:spacing w:before="120" w:after="120" w:line="360" w:lineRule="auto"/>
    </w:pPr>
    <w:rPr>
      <w:rFonts w:eastAsia="宋体"/>
      <w:sz w:val="24"/>
    </w:rPr>
  </w:style>
  <w:style w:type="paragraph" w:styleId="774" w:customStyle="1">
    <w:name w:val="标题 411"/>
    <w:basedOn w:val="724"/>
    <w:next w:val="724"/>
    <w:link w:val="786"/>
    <w:uiPriority w:val="9"/>
    <w:qFormat/>
    <w:pPr>
      <w:keepNext/>
      <w:outlineLvl w:val="3"/>
    </w:pPr>
    <w:rPr>
      <w:rFonts w:ascii="Times New Roman" w:hAnsi="Times New Roman" w:eastAsia="楷体_GB2312"/>
      <w:b/>
      <w:bCs/>
      <w:sz w:val="15"/>
      <w:szCs w:val="20"/>
    </w:rPr>
  </w:style>
  <w:style w:type="paragraph" w:styleId="775" w:customStyle="1">
    <w:name w:val="标题 511"/>
    <w:basedOn w:val="724"/>
    <w:next w:val="724"/>
    <w:link w:val="787"/>
    <w:uiPriority w:val="9"/>
    <w:qFormat/>
    <w:pPr>
      <w:numPr>
        <w:ilvl w:val="0"/>
        <w:numId w:val="1"/>
      </w:numPr>
      <w:keepNext/>
      <w:outlineLvl w:val="4"/>
    </w:pPr>
    <w:rPr>
      <w:rFonts w:ascii="楷体_GB2312" w:hAnsi="Times New Roman" w:eastAsia="楷体_GB2312"/>
      <w:bCs/>
      <w:sz w:val="28"/>
      <w:szCs w:val="20"/>
    </w:rPr>
  </w:style>
  <w:style w:type="paragraph" w:styleId="776" w:customStyle="1">
    <w:name w:val="标题 611"/>
    <w:basedOn w:val="724"/>
    <w:next w:val="724"/>
    <w:link w:val="788"/>
    <w:uiPriority w:val="9"/>
    <w:qFormat/>
    <w:pPr>
      <w:keepLines/>
      <w:keepNext/>
      <w:spacing w:before="320" w:after="200"/>
      <w:outlineLvl w:val="5"/>
    </w:pPr>
    <w:rPr>
      <w:rFonts w:ascii="Arial" w:hAnsi="Arial" w:cs="Arial"/>
      <w:b/>
      <w:bCs/>
      <w:sz w:val="22"/>
    </w:rPr>
  </w:style>
  <w:style w:type="paragraph" w:styleId="777" w:customStyle="1">
    <w:name w:val="标题 711"/>
    <w:basedOn w:val="724"/>
    <w:next w:val="724"/>
    <w:link w:val="789"/>
    <w:uiPriority w:val="9"/>
    <w:qFormat/>
    <w:pPr>
      <w:keepLines/>
      <w:keepNext/>
      <w:spacing w:before="320" w:after="200"/>
      <w:outlineLvl w:val="6"/>
    </w:pPr>
    <w:rPr>
      <w:rFonts w:ascii="Arial" w:hAnsi="Arial" w:cs="Arial"/>
      <w:b/>
      <w:bCs/>
      <w:i/>
      <w:iCs/>
      <w:sz w:val="22"/>
    </w:rPr>
  </w:style>
  <w:style w:type="paragraph" w:styleId="778" w:customStyle="1">
    <w:name w:val="标题 811"/>
    <w:basedOn w:val="724"/>
    <w:next w:val="724"/>
    <w:link w:val="790"/>
    <w:uiPriority w:val="9"/>
    <w:qFormat/>
    <w:pPr>
      <w:keepLines/>
      <w:keepNext/>
      <w:spacing w:before="320" w:after="200"/>
      <w:outlineLvl w:val="7"/>
    </w:pPr>
    <w:rPr>
      <w:rFonts w:ascii="Arial" w:hAnsi="Arial" w:cs="Arial"/>
      <w:i/>
      <w:iCs/>
      <w:sz w:val="22"/>
    </w:rPr>
  </w:style>
  <w:style w:type="paragraph" w:styleId="779" w:customStyle="1">
    <w:name w:val="标题 911"/>
    <w:basedOn w:val="724"/>
    <w:next w:val="724"/>
    <w:link w:val="791"/>
    <w:uiPriority w:val="9"/>
    <w:qFormat/>
    <w:pPr>
      <w:keepLines/>
      <w:keepNext/>
      <w:spacing w:before="320" w:after="200"/>
      <w:outlineLvl w:val="8"/>
    </w:pPr>
    <w:rPr>
      <w:rFonts w:ascii="Arial" w:hAnsi="Arial" w:cs="Arial"/>
      <w:i/>
      <w:iCs/>
      <w:szCs w:val="21"/>
    </w:rPr>
  </w:style>
  <w:style w:type="character" w:styleId="780" w:customStyle="1">
    <w:name w:val="默认段落字体11"/>
    <w:uiPriority w:val="1"/>
    <w:unhideWhenUsed/>
    <w:qFormat/>
  </w:style>
  <w:style w:type="table" w:styleId="781" w:customStyle="1">
    <w:name w:val="普通表格11"/>
    <w:uiPriority w:val="99"/>
    <w:unhideWhenUsed/>
    <w:qFormat/>
    <w:tblPr>
      <w:tblCellMar>
        <w:left w:w="0" w:type="dxa"/>
        <w:top w:w="0" w:type="dxa"/>
        <w:right w:w="0" w:type="dxa"/>
        <w:bottom w:w="0" w:type="dxa"/>
      </w:tblCellMar>
    </w:tblPr>
  </w:style>
  <w:style w:type="character" w:styleId="782" w:customStyle="1">
    <w:name w:val="标题 1 Char1"/>
    <w:basedOn w:val="780"/>
    <w:link w:val="769"/>
    <w:uiPriority w:val="9"/>
    <w:qFormat/>
    <w:rPr>
      <w:rFonts w:ascii="楷体_GB2312" w:hAnsi="Times New Roman" w:eastAsia="楷体_GB2312" w:cs="Times New Roman"/>
      <w:b/>
      <w:sz w:val="28"/>
      <w:szCs w:val="20"/>
    </w:rPr>
  </w:style>
  <w:style w:type="character" w:styleId="783" w:customStyle="1">
    <w:name w:val="标题 2 Char1"/>
    <w:basedOn w:val="780"/>
    <w:link w:val="770"/>
    <w:uiPriority w:val="9"/>
    <w:qFormat/>
    <w:rPr>
      <w:rFonts w:ascii="楷体_GB2312" w:hAnsi="Times New Roman" w:eastAsia="楷体_GB2312" w:cs="Times New Roman"/>
      <w:b/>
      <w:bCs/>
      <w:sz w:val="18"/>
      <w:szCs w:val="20"/>
    </w:rPr>
  </w:style>
  <w:style w:type="character" w:styleId="784" w:customStyle="1">
    <w:name w:val="列出段落 Char"/>
    <w:link w:val="773"/>
    <w:uiPriority w:val="0"/>
    <w:qFormat/>
    <w:rPr>
      <w:rFonts w:ascii="Calibri" w:hAnsi="Calibri" w:eastAsia="宋体" w:cs="Times New Roman"/>
      <w:sz w:val="24"/>
      <w:szCs w:val="22"/>
    </w:rPr>
  </w:style>
  <w:style w:type="character" w:styleId="785" w:customStyle="1">
    <w:name w:val="标题 3 Char1"/>
    <w:basedOn w:val="780"/>
    <w:link w:val="771"/>
    <w:uiPriority w:val="9"/>
    <w:qFormat/>
    <w:rPr>
      <w:rFonts w:ascii="Arial" w:hAnsi="Arial"/>
      <w:b/>
      <w:bCs/>
      <w:sz w:val="24"/>
      <w:szCs w:val="24"/>
    </w:rPr>
  </w:style>
  <w:style w:type="character" w:styleId="786" w:customStyle="1">
    <w:name w:val="标题 4 Char1"/>
    <w:basedOn w:val="780"/>
    <w:link w:val="774"/>
    <w:uiPriority w:val="9"/>
    <w:qFormat/>
    <w:rPr>
      <w:rFonts w:ascii="Times New Roman" w:hAnsi="Times New Roman" w:eastAsia="楷体_GB2312" w:cs="Times New Roman"/>
      <w:b/>
      <w:bCs/>
      <w:sz w:val="15"/>
    </w:rPr>
  </w:style>
  <w:style w:type="character" w:styleId="787" w:customStyle="1">
    <w:name w:val="标题 5 Char1"/>
    <w:basedOn w:val="780"/>
    <w:link w:val="775"/>
    <w:uiPriority w:val="9"/>
    <w:qFormat/>
    <w:rPr>
      <w:rFonts w:ascii="楷体_GB2312" w:hAnsi="Times New Roman" w:eastAsia="楷体_GB2312" w:cs="Times New Roman"/>
      <w:bCs/>
      <w:sz w:val="28"/>
    </w:rPr>
  </w:style>
  <w:style w:type="character" w:styleId="788" w:customStyle="1">
    <w:name w:val="标题 6 Char1"/>
    <w:basedOn w:val="780"/>
    <w:link w:val="776"/>
    <w:uiPriority w:val="9"/>
    <w:qFormat/>
    <w:rPr>
      <w:rFonts w:ascii="Arial" w:hAnsi="Arial" w:eastAsia="Arial" w:cs="Arial"/>
      <w:b/>
      <w:bCs/>
      <w:sz w:val="22"/>
      <w:szCs w:val="22"/>
    </w:rPr>
  </w:style>
  <w:style w:type="character" w:styleId="789" w:customStyle="1">
    <w:name w:val="标题 7 Char1"/>
    <w:basedOn w:val="780"/>
    <w:link w:val="777"/>
    <w:uiPriority w:val="9"/>
    <w:qFormat/>
    <w:rPr>
      <w:rFonts w:ascii="Arial" w:hAnsi="Arial" w:eastAsia="Arial" w:cs="Arial"/>
      <w:b/>
      <w:bCs/>
      <w:i/>
      <w:iCs/>
      <w:sz w:val="22"/>
      <w:szCs w:val="22"/>
    </w:rPr>
  </w:style>
  <w:style w:type="character" w:styleId="790" w:customStyle="1">
    <w:name w:val="标题 8 Char1"/>
    <w:basedOn w:val="780"/>
    <w:link w:val="778"/>
    <w:uiPriority w:val="9"/>
    <w:qFormat/>
    <w:rPr>
      <w:rFonts w:ascii="Arial" w:hAnsi="Arial" w:eastAsia="Arial" w:cs="Arial"/>
      <w:i/>
      <w:iCs/>
      <w:sz w:val="22"/>
      <w:szCs w:val="22"/>
    </w:rPr>
  </w:style>
  <w:style w:type="character" w:styleId="791" w:customStyle="1">
    <w:name w:val="标题 9 Char1"/>
    <w:basedOn w:val="780"/>
    <w:link w:val="779"/>
    <w:uiPriority w:val="9"/>
    <w:qFormat/>
    <w:rPr>
      <w:rFonts w:ascii="Arial" w:hAnsi="Arial" w:eastAsia="Arial" w:cs="Arial"/>
      <w:i/>
      <w:iCs/>
      <w:sz w:val="21"/>
      <w:szCs w:val="21"/>
    </w:rPr>
  </w:style>
  <w:style w:type="paragraph" w:styleId="792" w:customStyle="1">
    <w:name w:val="目录 7111"/>
    <w:basedOn w:val="724"/>
    <w:next w:val="724"/>
    <w:uiPriority w:val="39"/>
    <w:unhideWhenUsed/>
    <w:qFormat/>
    <w:pPr>
      <w:ind w:left="1701"/>
      <w:spacing w:after="57"/>
    </w:pPr>
    <w:rPr>
      <w:rFonts w:ascii="Times New Roman" w:hAnsi="Times New Roman" w:eastAsia="宋体"/>
      <w:szCs w:val="21"/>
    </w:rPr>
  </w:style>
  <w:style w:type="paragraph" w:styleId="793" w:customStyle="1">
    <w:name w:val="正文缩进11"/>
    <w:basedOn w:val="724"/>
    <w:uiPriority w:val="99"/>
    <w:qFormat/>
    <w:pPr>
      <w:ind w:firstLine="420"/>
    </w:pPr>
    <w:rPr>
      <w:rFonts w:ascii="Times New Roman" w:hAnsi="Times New Roman" w:eastAsia="宋体"/>
      <w:szCs w:val="20"/>
    </w:rPr>
  </w:style>
  <w:style w:type="paragraph" w:styleId="794" w:customStyle="1">
    <w:name w:val="题注1"/>
    <w:basedOn w:val="724"/>
    <w:next w:val="724"/>
    <w:uiPriority w:val="35"/>
    <w:qFormat/>
    <w:pPr>
      <w:spacing w:line="276" w:lineRule="auto"/>
    </w:pPr>
    <w:rPr>
      <w:rFonts w:ascii="Times New Roman" w:hAnsi="Times New Roman" w:eastAsia="宋体"/>
      <w:b/>
      <w:bCs/>
      <w:color w:val="4f81bd"/>
      <w:sz w:val="18"/>
      <w:szCs w:val="18"/>
    </w:rPr>
  </w:style>
  <w:style w:type="paragraph" w:styleId="795" w:customStyle="1">
    <w:name w:val="文档结构图11"/>
    <w:basedOn w:val="724"/>
    <w:link w:val="796"/>
    <w:uiPriority w:val="99"/>
    <w:semiHidden/>
    <w:qFormat/>
    <w:pPr>
      <w:shd w:val="clear" w:color="auto" w:fill="000080"/>
    </w:pPr>
    <w:rPr>
      <w:rFonts w:ascii="Times New Roman" w:hAnsi="Times New Roman" w:eastAsia="宋体"/>
      <w:sz w:val="20"/>
      <w:szCs w:val="20"/>
    </w:rPr>
  </w:style>
  <w:style w:type="character" w:styleId="796" w:customStyle="1">
    <w:name w:val="文档结构图 Char1"/>
    <w:basedOn w:val="780"/>
    <w:link w:val="795"/>
    <w:uiPriority w:val="99"/>
    <w:semiHidden/>
    <w:qFormat/>
    <w:rPr>
      <w:rFonts w:ascii="Times New Roman" w:hAnsi="Times New Roman" w:eastAsia="宋体" w:cs="Times New Roman"/>
      <w:sz w:val="20"/>
      <w:szCs w:val="20"/>
      <w:shd w:val="clear" w:color="auto" w:fill="000080"/>
    </w:rPr>
  </w:style>
  <w:style w:type="paragraph" w:styleId="797" w:customStyle="1">
    <w:name w:val="批注文字11"/>
    <w:basedOn w:val="724"/>
    <w:link w:val="798"/>
    <w:uiPriority w:val="99"/>
    <w:unhideWhenUsed/>
    <w:qFormat/>
    <w:pPr>
      <w:jc w:val="left"/>
    </w:pPr>
  </w:style>
  <w:style w:type="character" w:styleId="798" w:customStyle="1">
    <w:name w:val="批注文字 Char1"/>
    <w:basedOn w:val="780"/>
    <w:link w:val="797"/>
    <w:uiPriority w:val="99"/>
    <w:semiHidden/>
    <w:qFormat/>
  </w:style>
  <w:style w:type="paragraph" w:styleId="799" w:customStyle="1">
    <w:name w:val="正文文本11"/>
    <w:basedOn w:val="724"/>
    <w:link w:val="800"/>
    <w:uiPriority w:val="99"/>
    <w:qFormat/>
    <w:rPr>
      <w:rFonts w:ascii="华文中宋" w:hAnsi="Times New Roman" w:eastAsia="华文中宋"/>
      <w:bCs/>
      <w:sz w:val="28"/>
      <w:szCs w:val="20"/>
    </w:rPr>
  </w:style>
  <w:style w:type="character" w:styleId="800" w:customStyle="1">
    <w:name w:val="正文文本 Char1"/>
    <w:basedOn w:val="780"/>
    <w:link w:val="799"/>
    <w:uiPriority w:val="99"/>
    <w:qFormat/>
    <w:rPr>
      <w:rFonts w:ascii="华文中宋" w:hAnsi="Times New Roman" w:eastAsia="华文中宋" w:cs="Times New Roman"/>
      <w:bCs/>
      <w:sz w:val="28"/>
      <w:szCs w:val="20"/>
    </w:rPr>
  </w:style>
  <w:style w:type="paragraph" w:styleId="801" w:customStyle="1">
    <w:name w:val="正文文本缩进11"/>
    <w:basedOn w:val="724"/>
    <w:link w:val="802"/>
    <w:uiPriority w:val="99"/>
    <w:qFormat/>
    <w:pPr>
      <w:ind w:firstLine="576"/>
    </w:pPr>
    <w:rPr>
      <w:rFonts w:ascii="Times New Roman" w:hAnsi="Times New Roman" w:eastAsia="宋体"/>
      <w:b/>
      <w:sz w:val="30"/>
      <w:szCs w:val="20"/>
    </w:rPr>
  </w:style>
  <w:style w:type="character" w:styleId="802" w:customStyle="1">
    <w:name w:val="正文文本缩进 Char1"/>
    <w:basedOn w:val="780"/>
    <w:link w:val="801"/>
    <w:uiPriority w:val="99"/>
    <w:qFormat/>
    <w:rPr>
      <w:rFonts w:ascii="Times New Roman" w:hAnsi="Times New Roman" w:eastAsia="宋体" w:cs="Times New Roman"/>
      <w:b/>
      <w:sz w:val="30"/>
      <w:szCs w:val="20"/>
    </w:rPr>
  </w:style>
  <w:style w:type="paragraph" w:styleId="803" w:customStyle="1">
    <w:name w:val="索引 41"/>
    <w:basedOn w:val="724"/>
    <w:next w:val="724"/>
    <w:uiPriority w:val="99"/>
    <w:qFormat/>
    <w:pPr>
      <w:ind w:left="600"/>
    </w:pPr>
    <w:rPr>
      <w:szCs w:val="24"/>
    </w:rPr>
  </w:style>
  <w:style w:type="paragraph" w:styleId="804" w:customStyle="1">
    <w:name w:val="目录 5111"/>
    <w:basedOn w:val="724"/>
    <w:next w:val="724"/>
    <w:uiPriority w:val="39"/>
    <w:unhideWhenUsed/>
    <w:qFormat/>
    <w:pPr>
      <w:ind w:left="1134"/>
      <w:spacing w:after="57"/>
    </w:pPr>
    <w:rPr>
      <w:rFonts w:ascii="Times New Roman" w:hAnsi="Times New Roman" w:eastAsia="宋体"/>
      <w:szCs w:val="21"/>
    </w:rPr>
  </w:style>
  <w:style w:type="paragraph" w:styleId="805" w:customStyle="1">
    <w:name w:val="目录 3111"/>
    <w:basedOn w:val="724"/>
    <w:next w:val="724"/>
    <w:uiPriority w:val="39"/>
    <w:unhideWhenUsed/>
    <w:qFormat/>
    <w:pPr>
      <w:ind w:left="567"/>
      <w:spacing w:after="57"/>
    </w:pPr>
    <w:rPr>
      <w:rFonts w:ascii="Times New Roman" w:hAnsi="Times New Roman" w:eastAsia="宋体"/>
      <w:szCs w:val="21"/>
    </w:rPr>
  </w:style>
  <w:style w:type="paragraph" w:styleId="806" w:customStyle="1">
    <w:name w:val="纯文本11"/>
    <w:basedOn w:val="724"/>
    <w:uiPriority w:val="0"/>
    <w:qFormat/>
    <w:rPr>
      <w:rFonts w:ascii="黑体"/>
      <w:szCs w:val="21"/>
    </w:rPr>
  </w:style>
  <w:style w:type="paragraph" w:styleId="807" w:customStyle="1">
    <w:name w:val="目录 8111"/>
    <w:basedOn w:val="724"/>
    <w:next w:val="724"/>
    <w:uiPriority w:val="39"/>
    <w:unhideWhenUsed/>
    <w:qFormat/>
    <w:pPr>
      <w:ind w:left="1984"/>
      <w:spacing w:after="57"/>
    </w:pPr>
    <w:rPr>
      <w:rFonts w:ascii="Times New Roman" w:hAnsi="Times New Roman" w:eastAsia="宋体"/>
      <w:szCs w:val="21"/>
    </w:rPr>
  </w:style>
  <w:style w:type="paragraph" w:styleId="808" w:customStyle="1">
    <w:name w:val="日期11"/>
    <w:basedOn w:val="724"/>
    <w:next w:val="724"/>
    <w:link w:val="809"/>
    <w:uiPriority w:val="99"/>
    <w:qFormat/>
    <w:rPr>
      <w:rFonts w:ascii="Times New Roman" w:hAnsi="Times New Roman" w:eastAsia="黑体"/>
      <w:b/>
      <w:sz w:val="36"/>
      <w:szCs w:val="20"/>
    </w:rPr>
  </w:style>
  <w:style w:type="character" w:styleId="809" w:customStyle="1">
    <w:name w:val="日期 Char1"/>
    <w:basedOn w:val="780"/>
    <w:link w:val="808"/>
    <w:uiPriority w:val="99"/>
    <w:qFormat/>
    <w:rPr>
      <w:rFonts w:ascii="Times New Roman" w:hAnsi="Times New Roman" w:eastAsia="黑体" w:cs="Times New Roman"/>
      <w:b/>
      <w:sz w:val="36"/>
      <w:szCs w:val="20"/>
    </w:rPr>
  </w:style>
  <w:style w:type="paragraph" w:styleId="810" w:customStyle="1">
    <w:name w:val="正文文本缩进 211"/>
    <w:basedOn w:val="724"/>
    <w:link w:val="811"/>
    <w:uiPriority w:val="99"/>
    <w:qFormat/>
    <w:pPr>
      <w:ind w:left="900"/>
    </w:pPr>
    <w:rPr>
      <w:rFonts w:ascii="楷体_GB2312" w:hAnsi="Times New Roman" w:eastAsia="楷体_GB2312"/>
      <w:b/>
      <w:sz w:val="28"/>
      <w:szCs w:val="20"/>
    </w:rPr>
  </w:style>
  <w:style w:type="character" w:styleId="811" w:customStyle="1">
    <w:name w:val="正文文本缩进 2 Char1"/>
    <w:basedOn w:val="780"/>
    <w:link w:val="810"/>
    <w:uiPriority w:val="99"/>
    <w:qFormat/>
    <w:rPr>
      <w:rFonts w:ascii="楷体_GB2312" w:hAnsi="Times New Roman" w:eastAsia="楷体_GB2312" w:cs="Times New Roman"/>
      <w:b/>
      <w:sz w:val="28"/>
      <w:szCs w:val="20"/>
    </w:rPr>
  </w:style>
  <w:style w:type="paragraph" w:styleId="812" w:customStyle="1">
    <w:name w:val="尾注文本1"/>
    <w:basedOn w:val="724"/>
    <w:link w:val="813"/>
    <w:uiPriority w:val="99"/>
    <w:unhideWhenUsed/>
    <w:qFormat/>
    <w:rPr>
      <w:rFonts w:ascii="Times New Roman" w:hAnsi="Times New Roman" w:eastAsia="宋体"/>
      <w:sz w:val="20"/>
      <w:szCs w:val="21"/>
    </w:rPr>
  </w:style>
  <w:style w:type="character" w:styleId="813" w:customStyle="1">
    <w:name w:val="尾注文本 Char"/>
    <w:basedOn w:val="780"/>
    <w:link w:val="812"/>
    <w:uiPriority w:val="99"/>
    <w:qFormat/>
    <w:rPr>
      <w:rFonts w:ascii="Times New Roman" w:hAnsi="Times New Roman" w:eastAsia="宋体" w:cs="Times New Roman"/>
      <w:szCs w:val="21"/>
    </w:rPr>
  </w:style>
  <w:style w:type="paragraph" w:styleId="814" w:customStyle="1">
    <w:name w:val="批注框文本11"/>
    <w:basedOn w:val="724"/>
    <w:link w:val="815"/>
    <w:uiPriority w:val="99"/>
    <w:unhideWhenUsed/>
    <w:qFormat/>
    <w:rPr>
      <w:rFonts w:ascii="Times New Roman" w:hAnsi="Times New Roman" w:eastAsia="宋体"/>
      <w:sz w:val="18"/>
      <w:szCs w:val="18"/>
    </w:rPr>
  </w:style>
  <w:style w:type="character" w:styleId="815" w:customStyle="1">
    <w:name w:val="批注框文本 Char1"/>
    <w:basedOn w:val="780"/>
    <w:link w:val="814"/>
    <w:uiPriority w:val="99"/>
    <w:semiHidden/>
    <w:qFormat/>
    <w:rPr>
      <w:rFonts w:ascii="Times New Roman" w:hAnsi="Times New Roman" w:eastAsia="宋体" w:cs="Times New Roman"/>
      <w:sz w:val="18"/>
      <w:szCs w:val="18"/>
    </w:rPr>
  </w:style>
  <w:style w:type="paragraph" w:styleId="816" w:customStyle="1">
    <w:name w:val="页脚11"/>
    <w:basedOn w:val="724"/>
    <w:next w:val="817"/>
    <w:link w:val="818"/>
    <w:uiPriority w:val="99"/>
    <w:qFormat/>
    <w:pPr>
      <w:jc w:val="left"/>
      <w:tabs>
        <w:tab w:val="center" w:pos="4153" w:leader="none"/>
        <w:tab w:val="right" w:pos="8306" w:leader="none"/>
      </w:tabs>
    </w:pPr>
    <w:rPr>
      <w:rFonts w:ascii="Times New Roman" w:hAnsi="Times New Roman" w:eastAsia="宋体"/>
      <w:sz w:val="18"/>
      <w:szCs w:val="20"/>
    </w:rPr>
  </w:style>
  <w:style w:type="paragraph" w:styleId="817" w:customStyle="1">
    <w:name w:val="明显引用1"/>
    <w:next w:val="724"/>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18" w:customStyle="1">
    <w:name w:val="页脚 Char1"/>
    <w:basedOn w:val="780"/>
    <w:link w:val="816"/>
    <w:uiPriority w:val="99"/>
    <w:qFormat/>
    <w:rPr>
      <w:rFonts w:ascii="Times New Roman" w:hAnsi="Times New Roman" w:eastAsia="宋体" w:cs="Times New Roman"/>
      <w:sz w:val="18"/>
      <w:szCs w:val="20"/>
    </w:rPr>
  </w:style>
  <w:style w:type="paragraph" w:styleId="819" w:customStyle="1">
    <w:name w:val="页眉11"/>
    <w:basedOn w:val="724"/>
    <w:link w:val="82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20" w:customStyle="1">
    <w:name w:val="页眉 Char1"/>
    <w:basedOn w:val="780"/>
    <w:link w:val="819"/>
    <w:uiPriority w:val="99"/>
    <w:qFormat/>
    <w:rPr>
      <w:rFonts w:ascii="Times New Roman" w:hAnsi="Times New Roman" w:eastAsia="宋体" w:cs="Times New Roman"/>
      <w:sz w:val="18"/>
      <w:szCs w:val="20"/>
    </w:rPr>
  </w:style>
  <w:style w:type="paragraph" w:styleId="821" w:customStyle="1">
    <w:name w:val="目录 1112"/>
    <w:basedOn w:val="724"/>
    <w:next w:val="724"/>
    <w:uiPriority w:val="39"/>
    <w:unhideWhenUsed/>
    <w:qFormat/>
    <w:pPr>
      <w:spacing w:after="57"/>
    </w:pPr>
    <w:rPr>
      <w:rFonts w:ascii="Times New Roman" w:hAnsi="Times New Roman" w:eastAsia="宋体"/>
      <w:szCs w:val="21"/>
    </w:rPr>
  </w:style>
  <w:style w:type="paragraph" w:styleId="822" w:customStyle="1">
    <w:name w:val="目录 4111"/>
    <w:basedOn w:val="724"/>
    <w:next w:val="724"/>
    <w:uiPriority w:val="39"/>
    <w:unhideWhenUsed/>
    <w:qFormat/>
    <w:pPr>
      <w:ind w:left="850"/>
      <w:spacing w:after="57"/>
    </w:pPr>
    <w:rPr>
      <w:rFonts w:ascii="Times New Roman" w:hAnsi="Times New Roman" w:eastAsia="宋体"/>
      <w:szCs w:val="21"/>
    </w:rPr>
  </w:style>
  <w:style w:type="paragraph" w:styleId="823" w:customStyle="1">
    <w:name w:val="副标题1"/>
    <w:basedOn w:val="724"/>
    <w:next w:val="724"/>
    <w:link w:val="824"/>
    <w:uiPriority w:val="11"/>
    <w:qFormat/>
    <w:pPr>
      <w:ind w:firstLine="471"/>
      <w:jc w:val="center"/>
      <w:spacing w:before="240" w:after="60" w:line="312" w:lineRule="atLeast"/>
      <w:outlineLvl w:val="1"/>
    </w:pPr>
    <w:rPr>
      <w:rFonts w:ascii="Arial" w:hAnsi="Arial"/>
      <w:b/>
      <w:bCs/>
      <w:sz w:val="32"/>
      <w:szCs w:val="32"/>
    </w:rPr>
  </w:style>
  <w:style w:type="character" w:styleId="824" w:customStyle="1">
    <w:name w:val="副标题 Char"/>
    <w:link w:val="823"/>
    <w:uiPriority w:val="11"/>
    <w:qFormat/>
    <w:rPr>
      <w:rFonts w:ascii="Arial" w:hAnsi="Arial"/>
      <w:b/>
      <w:bCs/>
      <w:sz w:val="32"/>
      <w:szCs w:val="32"/>
    </w:rPr>
  </w:style>
  <w:style w:type="paragraph" w:styleId="825" w:customStyle="1">
    <w:name w:val="列表11"/>
    <w:basedOn w:val="724"/>
    <w:uiPriority w:val="0"/>
    <w:qFormat/>
    <w:pPr>
      <w:ind w:firstLine="480"/>
      <w:spacing w:after="20" w:line="360" w:lineRule="auto"/>
      <w:tabs>
        <w:tab w:val="left" w:pos="420" w:leader="none"/>
      </w:tabs>
    </w:pPr>
    <w:rPr>
      <w:rFonts w:ascii="宋体" w:hAnsi="宋体" w:eastAsia="宋体" w:cs="宋体"/>
      <w:sz w:val="24"/>
      <w:szCs w:val="24"/>
    </w:rPr>
  </w:style>
  <w:style w:type="paragraph" w:styleId="826" w:customStyle="1">
    <w:name w:val="脚注文本1"/>
    <w:basedOn w:val="724"/>
    <w:link w:val="827"/>
    <w:uiPriority w:val="99"/>
    <w:unhideWhenUsed/>
    <w:qFormat/>
    <w:pPr>
      <w:spacing w:after="40"/>
    </w:pPr>
    <w:rPr>
      <w:rFonts w:ascii="Times New Roman" w:hAnsi="Times New Roman" w:eastAsia="宋体"/>
      <w:sz w:val="18"/>
      <w:szCs w:val="21"/>
    </w:rPr>
  </w:style>
  <w:style w:type="character" w:styleId="827" w:customStyle="1">
    <w:name w:val="脚注文本 Char"/>
    <w:basedOn w:val="780"/>
    <w:link w:val="826"/>
    <w:uiPriority w:val="99"/>
    <w:qFormat/>
    <w:rPr>
      <w:rFonts w:ascii="Times New Roman" w:hAnsi="Times New Roman" w:eastAsia="宋体" w:cs="Times New Roman"/>
      <w:sz w:val="18"/>
      <w:szCs w:val="21"/>
    </w:rPr>
  </w:style>
  <w:style w:type="paragraph" w:styleId="828" w:customStyle="1">
    <w:name w:val="目录 6111"/>
    <w:basedOn w:val="724"/>
    <w:next w:val="724"/>
    <w:uiPriority w:val="39"/>
    <w:unhideWhenUsed/>
    <w:qFormat/>
    <w:pPr>
      <w:ind w:left="1417"/>
      <w:spacing w:after="57"/>
    </w:pPr>
    <w:rPr>
      <w:rFonts w:ascii="Times New Roman" w:hAnsi="Times New Roman" w:eastAsia="宋体"/>
      <w:szCs w:val="21"/>
    </w:rPr>
  </w:style>
  <w:style w:type="paragraph" w:styleId="829" w:customStyle="1">
    <w:name w:val="正文文本缩进 311"/>
    <w:basedOn w:val="724"/>
    <w:link w:val="830"/>
    <w:uiPriority w:val="99"/>
    <w:qFormat/>
    <w:pPr>
      <w:ind w:left="359" w:firstLine="359"/>
    </w:pPr>
    <w:rPr>
      <w:rFonts w:ascii="Times New Roman" w:hAnsi="Times New Roman" w:eastAsia="宋体"/>
      <w:sz w:val="20"/>
      <w:szCs w:val="20"/>
    </w:rPr>
  </w:style>
  <w:style w:type="character" w:styleId="830" w:customStyle="1">
    <w:name w:val="正文文本缩进 3 Char1"/>
    <w:basedOn w:val="780"/>
    <w:link w:val="829"/>
    <w:uiPriority w:val="99"/>
    <w:qFormat/>
    <w:rPr>
      <w:rFonts w:ascii="Times New Roman" w:hAnsi="Times New Roman" w:eastAsia="宋体" w:cs="Times New Roman"/>
      <w:sz w:val="20"/>
      <w:szCs w:val="20"/>
    </w:rPr>
  </w:style>
  <w:style w:type="paragraph" w:styleId="831" w:customStyle="1">
    <w:name w:val="图表目录11"/>
    <w:basedOn w:val="724"/>
    <w:next w:val="724"/>
    <w:uiPriority w:val="99"/>
    <w:unhideWhenUsed/>
    <w:qFormat/>
    <w:rPr>
      <w:rFonts w:ascii="Times New Roman" w:hAnsi="Times New Roman" w:eastAsia="宋体"/>
      <w:szCs w:val="21"/>
    </w:rPr>
  </w:style>
  <w:style w:type="paragraph" w:styleId="832" w:customStyle="1">
    <w:name w:val="目录 2111"/>
    <w:basedOn w:val="724"/>
    <w:next w:val="724"/>
    <w:uiPriority w:val="39"/>
    <w:unhideWhenUsed/>
    <w:qFormat/>
    <w:pPr>
      <w:ind w:left="283"/>
      <w:spacing w:after="57"/>
    </w:pPr>
    <w:rPr>
      <w:rFonts w:ascii="Times New Roman" w:hAnsi="Times New Roman" w:eastAsia="宋体"/>
      <w:szCs w:val="21"/>
    </w:rPr>
  </w:style>
  <w:style w:type="paragraph" w:styleId="833" w:customStyle="1">
    <w:name w:val="目录 9111"/>
    <w:basedOn w:val="724"/>
    <w:next w:val="724"/>
    <w:uiPriority w:val="39"/>
    <w:unhideWhenUsed/>
    <w:qFormat/>
    <w:pPr>
      <w:ind w:left="2268"/>
      <w:spacing w:after="57"/>
    </w:pPr>
    <w:rPr>
      <w:rFonts w:ascii="Times New Roman" w:hAnsi="Times New Roman" w:eastAsia="宋体"/>
      <w:szCs w:val="21"/>
    </w:rPr>
  </w:style>
  <w:style w:type="paragraph" w:styleId="834" w:customStyle="1">
    <w:name w:val="正文文本 211"/>
    <w:basedOn w:val="724"/>
    <w:link w:val="835"/>
    <w:uiPriority w:val="99"/>
    <w:qFormat/>
    <w:pPr>
      <w:spacing w:after="120" w:line="480" w:lineRule="auto"/>
    </w:pPr>
    <w:rPr>
      <w:rFonts w:ascii="Times New Roman" w:hAnsi="Times New Roman" w:eastAsia="宋体"/>
      <w:sz w:val="20"/>
      <w:szCs w:val="20"/>
    </w:rPr>
  </w:style>
  <w:style w:type="character" w:styleId="835" w:customStyle="1">
    <w:name w:val="正文文本 2 Char1"/>
    <w:basedOn w:val="780"/>
    <w:link w:val="834"/>
    <w:uiPriority w:val="99"/>
    <w:qFormat/>
    <w:rPr>
      <w:rFonts w:ascii="Times New Roman" w:hAnsi="Times New Roman" w:eastAsia="宋体" w:cs="Times New Roman"/>
      <w:sz w:val="20"/>
      <w:szCs w:val="20"/>
    </w:rPr>
  </w:style>
  <w:style w:type="paragraph" w:styleId="836" w:customStyle="1">
    <w:name w:val="普通(网站)11"/>
    <w:basedOn w:val="72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7" w:customStyle="1">
    <w:name w:val="标题11"/>
    <w:basedOn w:val="724"/>
    <w:next w:val="724"/>
    <w:link w:val="838"/>
    <w:uiPriority w:val="10"/>
    <w:qFormat/>
    <w:pPr>
      <w:contextualSpacing/>
      <w:spacing w:before="300" w:after="200"/>
    </w:pPr>
    <w:rPr>
      <w:rFonts w:ascii="Times New Roman" w:hAnsi="Times New Roman" w:eastAsia="宋体"/>
      <w:sz w:val="48"/>
      <w:szCs w:val="48"/>
    </w:rPr>
  </w:style>
  <w:style w:type="character" w:styleId="838" w:customStyle="1">
    <w:name w:val="标题 Char"/>
    <w:basedOn w:val="780"/>
    <w:link w:val="837"/>
    <w:uiPriority w:val="10"/>
    <w:qFormat/>
    <w:rPr>
      <w:rFonts w:ascii="Times New Roman" w:hAnsi="Times New Roman" w:eastAsia="宋体" w:cs="Times New Roman"/>
      <w:sz w:val="48"/>
      <w:szCs w:val="48"/>
    </w:rPr>
  </w:style>
  <w:style w:type="paragraph" w:styleId="839" w:customStyle="1">
    <w:name w:val="批注主题11"/>
    <w:basedOn w:val="797"/>
    <w:next w:val="797"/>
    <w:link w:val="840"/>
    <w:uiPriority w:val="99"/>
    <w:unhideWhenUsed/>
    <w:qFormat/>
    <w:rPr>
      <w:b/>
      <w:bCs/>
    </w:rPr>
  </w:style>
  <w:style w:type="character" w:styleId="840" w:customStyle="1">
    <w:name w:val="批注主题 Char1"/>
    <w:basedOn w:val="798"/>
    <w:link w:val="839"/>
    <w:uiPriority w:val="99"/>
    <w:semiHidden/>
    <w:qFormat/>
    <w:rPr>
      <w:b/>
      <w:bCs/>
    </w:rPr>
  </w:style>
  <w:style w:type="paragraph" w:styleId="841" w:customStyle="1">
    <w:name w:val="正文首行缩进11"/>
    <w:basedOn w:val="799"/>
    <w:uiPriority w:val="99"/>
    <w:unhideWhenUsed/>
    <w:qFormat/>
    <w:pPr>
      <w:ind w:firstLine="420"/>
      <w:spacing w:after="120"/>
    </w:pPr>
    <w:rPr>
      <w:rFonts w:ascii="Calibri" w:hAnsi="Calibri" w:eastAsia="宋体"/>
      <w:sz w:val="21"/>
      <w:szCs w:val="22"/>
    </w:rPr>
  </w:style>
  <w:style w:type="paragraph" w:styleId="842" w:customStyle="1">
    <w:name w:val="正文首行缩进 211"/>
    <w:basedOn w:val="801"/>
    <w:next w:val="724"/>
    <w:link w:val="843"/>
    <w:uiPriority w:val="99"/>
    <w:unhideWhenUsed/>
    <w:qFormat/>
    <w:pPr>
      <w:ind w:left="420" w:firstLine="420"/>
      <w:spacing w:after="120"/>
    </w:pPr>
    <w:rPr>
      <w:rFonts w:ascii="Calibri" w:hAnsi="Calibri" w:eastAsia="Arial"/>
      <w:b w:val="0"/>
      <w:sz w:val="21"/>
      <w:szCs w:val="22"/>
    </w:rPr>
  </w:style>
  <w:style w:type="character" w:styleId="843" w:customStyle="1">
    <w:name w:val="正文首行缩进 2 Char1"/>
    <w:basedOn w:val="802"/>
    <w:link w:val="842"/>
    <w:uiPriority w:val="99"/>
    <w:semiHidden/>
    <w:qFormat/>
    <w:rPr>
      <w:rFonts w:ascii="Times New Roman" w:hAnsi="Times New Roman" w:eastAsia="宋体" w:cs="Times New Roman"/>
      <w:b w:val="0"/>
      <w:sz w:val="21"/>
      <w:szCs w:val="22"/>
    </w:rPr>
  </w:style>
  <w:style w:type="table" w:styleId="844" w:customStyle="1">
    <w:name w:val="网格型11"/>
    <w:basedOn w:val="781"/>
    <w:uiPriority w:val="59"/>
    <w:qFormat/>
    <w:rPr>
      <w:rFonts w:eastAsia="Times New Roman"/>
    </w:rPr>
    <w:tblPr>
      <w:tblCellMar>
        <w:left w:w="0" w:type="dxa"/>
        <w:top w:w="0" w:type="dxa"/>
        <w:right w:w="0" w:type="dxa"/>
        <w:bottom w:w="0" w:type="dxa"/>
      </w:tblCellMar>
    </w:tblPr>
  </w:style>
  <w:style w:type="character" w:styleId="845" w:customStyle="1">
    <w:name w:val="要点11"/>
    <w:uiPriority w:val="99"/>
    <w:qFormat/>
    <w:rPr>
      <w:rFonts w:cs="Times New Roman"/>
      <w:b/>
      <w:bCs/>
    </w:rPr>
  </w:style>
  <w:style w:type="character" w:styleId="846" w:customStyle="1">
    <w:name w:val="尾注引用1"/>
    <w:uiPriority w:val="99"/>
    <w:unhideWhenUsed/>
    <w:qFormat/>
    <w:rPr>
      <w:vertAlign w:val="superscript"/>
    </w:rPr>
  </w:style>
  <w:style w:type="character" w:styleId="847" w:customStyle="1">
    <w:name w:val="页码11"/>
    <w:uiPriority w:val="99"/>
    <w:qFormat/>
    <w:rPr>
      <w:rFonts w:cs="Times New Roman"/>
    </w:rPr>
  </w:style>
  <w:style w:type="character" w:styleId="848" w:customStyle="1">
    <w:name w:val="已访问的超链接11"/>
    <w:uiPriority w:val="99"/>
    <w:unhideWhenUsed/>
    <w:qFormat/>
    <w:rPr>
      <w:color w:val="800080"/>
      <w:u w:val="single"/>
    </w:rPr>
  </w:style>
  <w:style w:type="character" w:styleId="849" w:customStyle="1">
    <w:name w:val="HTML 打字机11"/>
    <w:uiPriority w:val="99"/>
    <w:qFormat/>
    <w:rPr>
      <w:rFonts w:ascii="宋体" w:hAnsi="宋体" w:eastAsia="宋体" w:cs="宋体"/>
      <w:sz w:val="24"/>
      <w:szCs w:val="24"/>
    </w:rPr>
  </w:style>
  <w:style w:type="character" w:styleId="850" w:customStyle="1">
    <w:name w:val="超链接11"/>
    <w:uiPriority w:val="99"/>
    <w:qFormat/>
    <w:rPr>
      <w:rFonts w:cs="Times New Roman"/>
      <w:color w:val="000000"/>
      <w:u w:val="none"/>
    </w:rPr>
  </w:style>
  <w:style w:type="character" w:styleId="851" w:customStyle="1">
    <w:name w:val="批注引用11"/>
    <w:basedOn w:val="780"/>
    <w:uiPriority w:val="0"/>
    <w:unhideWhenUsed/>
    <w:qFormat/>
    <w:rPr>
      <w:sz w:val="21"/>
      <w:szCs w:val="21"/>
    </w:rPr>
  </w:style>
  <w:style w:type="character" w:styleId="852" w:customStyle="1">
    <w:name w:val="脚注引用1"/>
    <w:uiPriority w:val="99"/>
    <w:unhideWhenUsed/>
    <w:qFormat/>
    <w:rPr>
      <w:vertAlign w:val="superscript"/>
    </w:rPr>
  </w:style>
  <w:style w:type="character" w:styleId="853" w:customStyle="1">
    <w:name w:val="批注引用1"/>
    <w:uiPriority w:val="0"/>
    <w:semiHidden/>
    <w:qFormat/>
    <w:rPr>
      <w:rFonts w:ascii="Calibri" w:hAnsi="Calibri" w:eastAsia="Arial" w:cs="Times New Roman"/>
      <w:sz w:val="21"/>
      <w:szCs w:val="22"/>
    </w:rPr>
  </w:style>
  <w:style w:type="paragraph" w:styleId="854" w:customStyle="1">
    <w:name w:val="段"/>
    <w:next w:val="724"/>
    <w:uiPriority w:val="0"/>
    <w:qFormat/>
    <w:pPr>
      <w:ind w:firstLine="200"/>
      <w:jc w:val="both"/>
    </w:pPr>
    <w:rPr>
      <w:rFonts w:ascii="宋体" w:hAnsi="Times New Roman" w:eastAsia="宋体" w:cs="Times New Roman"/>
      <w:sz w:val="21"/>
      <w:lang w:val="en-US" w:eastAsia="zh-CN" w:bidi="ar-SA"/>
    </w:rPr>
  </w:style>
  <w:style w:type="paragraph" w:styleId="855" w:customStyle="1">
    <w:name w:val="TOC 标题1"/>
    <w:uiPriority w:val="39"/>
    <w:unhideWhenUsed/>
    <w:qFormat/>
    <w:rPr>
      <w:rFonts w:ascii="Calibri" w:hAnsi="Calibri" w:eastAsia="Arial" w:cs="Times New Roman"/>
      <w:lang w:val="en-US" w:eastAsia="zh-CN" w:bidi="ar-SA"/>
    </w:rPr>
  </w:style>
  <w:style w:type="paragraph" w:styleId="856" w:customStyle="1">
    <w:name w:val="font5"/>
    <w:basedOn w:val="724"/>
    <w:uiPriority w:val="0"/>
    <w:qFormat/>
    <w:pPr>
      <w:jc w:val="left"/>
      <w:spacing w:before="100" w:beforeAutospacing="1" w:after="100" w:afterAutospacing="1"/>
      <w:widowControl/>
    </w:pPr>
    <w:rPr>
      <w:rFonts w:ascii="宋体" w:hAnsi="宋体" w:eastAsia="宋体"/>
      <w:sz w:val="18"/>
      <w:szCs w:val="18"/>
    </w:rPr>
  </w:style>
  <w:style w:type="paragraph" w:styleId="857" w:customStyle="1">
    <w:name w:val="font6"/>
    <w:basedOn w:val="724"/>
    <w:uiPriority w:val="0"/>
    <w:qFormat/>
    <w:pPr>
      <w:jc w:val="left"/>
      <w:spacing w:before="100" w:beforeAutospacing="1" w:after="100" w:afterAutospacing="1"/>
      <w:widowControl/>
    </w:pPr>
    <w:rPr>
      <w:rFonts w:ascii="宋体" w:hAnsi="宋体" w:eastAsia="宋体"/>
      <w:b/>
      <w:bCs/>
      <w:sz w:val="20"/>
      <w:szCs w:val="20"/>
    </w:rPr>
  </w:style>
  <w:style w:type="paragraph" w:styleId="858" w:customStyle="1">
    <w:name w:val="font7"/>
    <w:basedOn w:val="724"/>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59" w:customStyle="1">
    <w:name w:val="font8"/>
    <w:basedOn w:val="724"/>
    <w:uiPriority w:val="99"/>
    <w:qFormat/>
    <w:pPr>
      <w:jc w:val="left"/>
      <w:spacing w:before="100" w:beforeAutospacing="1" w:after="100" w:afterAutospacing="1"/>
      <w:widowControl/>
    </w:pPr>
    <w:rPr>
      <w:rFonts w:ascii="宋体" w:hAnsi="宋体" w:eastAsia="宋体"/>
      <w:b/>
      <w:bCs/>
      <w:i/>
      <w:iCs/>
      <w:sz w:val="20"/>
      <w:szCs w:val="20"/>
    </w:rPr>
  </w:style>
  <w:style w:type="paragraph" w:styleId="860" w:customStyle="1">
    <w:name w:val="font9"/>
    <w:basedOn w:val="724"/>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61" w:customStyle="1">
    <w:name w:val="xl24"/>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2" w:customStyle="1">
    <w:name w:val="xl2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3" w:customStyle="1">
    <w:name w:val="xl2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4" w:customStyle="1">
    <w:name w:val="xl27"/>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5"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6" w:customStyle="1">
    <w:name w:val="xl2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7" w:customStyle="1">
    <w:name w:val="xl30"/>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8" w:customStyle="1">
    <w:name w:val="xl31"/>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69" w:customStyle="1">
    <w:name w:val="xl32"/>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0" w:customStyle="1">
    <w:name w:val="xl33"/>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1" w:customStyle="1">
    <w:name w:val="xl34"/>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2" w:customStyle="1">
    <w:name w:val="xl35"/>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73" w:customStyle="1">
    <w:name w:val="xl36"/>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4" w:customStyle="1">
    <w:name w:val="xl37"/>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75" w:customStyle="1">
    <w:name w:val="xl38"/>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6" w:customStyle="1">
    <w:name w:val="xl39"/>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77" w:customStyle="1">
    <w:name w:val="xl40"/>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8" w:customStyle="1">
    <w:name w:val="xl41"/>
    <w:basedOn w:val="72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9" w:customStyle="1">
    <w:name w:val="xl42"/>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0" w:customStyle="1">
    <w:name w:val="xl43"/>
    <w:basedOn w:val="7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81" w:customStyle="1">
    <w:name w:val="xl44"/>
    <w:basedOn w:val="7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82" w:customStyle="1">
    <w:name w:val="xl45"/>
    <w:basedOn w:val="724"/>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83" w:customStyle="1">
    <w:name w:val="xl46"/>
    <w:basedOn w:val="724"/>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84" w:customStyle="1">
    <w:name w:val="xl47"/>
    <w:basedOn w:val="7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85" w:customStyle="1">
    <w:name w:val="xl48"/>
    <w:basedOn w:val="7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86" w:customStyle="1">
    <w:name w:val="xl49"/>
    <w:basedOn w:val="724"/>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87" w:customStyle="1">
    <w:name w:val="xl50"/>
    <w:basedOn w:val="7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8" w:customStyle="1">
    <w:name w:val="xl51"/>
    <w:basedOn w:val="7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89" w:customStyle="1">
    <w:name w:val="xl52"/>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90" w:customStyle="1">
    <w:name w:val="xl53"/>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1" w:customStyle="1">
    <w:name w:val="xl54"/>
    <w:basedOn w:val="7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92" w:customStyle="1">
    <w:name w:val="xl55"/>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93" w:customStyle="1">
    <w:name w:val="xl56"/>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4" w:customStyle="1">
    <w:name w:val="xl57"/>
    <w:basedOn w:val="72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95" w:customStyle="1">
    <w:name w:val="xl58"/>
    <w:basedOn w:val="724"/>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96" w:customStyle="1">
    <w:name w:val="xl59"/>
    <w:basedOn w:val="72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7" w:customStyle="1">
    <w:name w:val="xl60"/>
    <w:basedOn w:val="72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98" w:customStyle="1">
    <w:name w:val="xl61"/>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99" w:customStyle="1">
    <w:name w:val="xl62"/>
    <w:basedOn w:val="72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0" w:customStyle="1">
    <w:name w:val="xl63"/>
    <w:basedOn w:val="72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01" w:customStyle="1">
    <w:name w:val="font10"/>
    <w:basedOn w:val="724"/>
    <w:uiPriority w:val="99"/>
    <w:qFormat/>
    <w:pPr>
      <w:jc w:val="left"/>
      <w:spacing w:before="100" w:beforeAutospacing="1" w:after="100" w:afterAutospacing="1"/>
      <w:widowControl/>
    </w:pPr>
    <w:rPr>
      <w:rFonts w:ascii="楷体_GB2312" w:hAnsi="宋体" w:eastAsia="楷体_GB2312"/>
      <w:b/>
      <w:bCs/>
      <w:sz w:val="18"/>
      <w:szCs w:val="18"/>
    </w:rPr>
  </w:style>
  <w:style w:type="paragraph" w:styleId="902" w:customStyle="1">
    <w:name w:val="font11"/>
    <w:basedOn w:val="724"/>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03" w:customStyle="1">
    <w:name w:val="font12"/>
    <w:basedOn w:val="724"/>
    <w:uiPriority w:val="99"/>
    <w:qFormat/>
    <w:pPr>
      <w:jc w:val="left"/>
      <w:spacing w:before="100" w:beforeAutospacing="1" w:after="100" w:afterAutospacing="1"/>
      <w:widowControl/>
    </w:pPr>
    <w:rPr>
      <w:rFonts w:ascii="宋体" w:hAnsi="宋体" w:eastAsia="宋体"/>
      <w:sz w:val="36"/>
      <w:szCs w:val="36"/>
    </w:rPr>
  </w:style>
  <w:style w:type="paragraph" w:styleId="904" w:customStyle="1">
    <w:name w:val="font13"/>
    <w:basedOn w:val="724"/>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05" w:customStyle="1">
    <w:name w:val="font14"/>
    <w:basedOn w:val="724"/>
    <w:uiPriority w:val="99"/>
    <w:qFormat/>
    <w:pPr>
      <w:jc w:val="left"/>
      <w:spacing w:before="100" w:beforeAutospacing="1" w:after="100" w:afterAutospacing="1"/>
      <w:widowControl/>
    </w:pPr>
    <w:rPr>
      <w:rFonts w:ascii="Times New Roman" w:hAnsi="Times New Roman" w:eastAsia="宋体"/>
      <w:sz w:val="36"/>
      <w:szCs w:val="36"/>
    </w:rPr>
  </w:style>
  <w:style w:type="character" w:styleId="906" w:customStyle="1">
    <w:name w:val="case31"/>
    <w:uiPriority w:val="99"/>
    <w:qFormat/>
    <w:rPr>
      <w:rFonts w:cs="Times New Roman"/>
      <w:spacing w:val="390"/>
      <w:sz w:val="21"/>
      <w:szCs w:val="21"/>
    </w:rPr>
  </w:style>
  <w:style w:type="paragraph" w:styleId="907" w:customStyle="1">
    <w:name w:val="普通文字"/>
    <w:basedOn w:val="724"/>
    <w:next w:val="724"/>
    <w:uiPriority w:val="99"/>
    <w:qFormat/>
    <w:rPr>
      <w:rFonts w:ascii="宋体" w:hAnsi="Times New Roman" w:eastAsia="宋体"/>
      <w:sz w:val="24"/>
      <w:szCs w:val="20"/>
    </w:rPr>
  </w:style>
  <w:style w:type="paragraph" w:styleId="908" w:customStyle="1">
    <w:name w:val="默认段落字体 Para Char"/>
    <w:basedOn w:val="724"/>
    <w:uiPriority w:val="99"/>
    <w:qFormat/>
    <w:pPr>
      <w:ind w:left="552" w:hanging="420"/>
      <w:tabs>
        <w:tab w:val="left" w:pos="552" w:leader="none"/>
      </w:tabs>
    </w:pPr>
    <w:rPr>
      <w:rFonts w:ascii="Times New Roman" w:hAnsi="Times New Roman" w:eastAsia="宋体"/>
      <w:sz w:val="24"/>
      <w:szCs w:val="24"/>
    </w:rPr>
  </w:style>
  <w:style w:type="paragraph" w:styleId="909" w:customStyle="1">
    <w:name w:val="Char Char Char Char"/>
    <w:basedOn w:val="795"/>
    <w:uiPriority w:val="0"/>
    <w:qFormat/>
    <w:pPr>
      <w:spacing w:line="360" w:lineRule="auto"/>
    </w:pPr>
    <w:rPr>
      <w:rFonts w:ascii="Tahoma" w:hAnsi="Tahoma"/>
      <w:sz w:val="24"/>
      <w:szCs w:val="24"/>
    </w:rPr>
  </w:style>
  <w:style w:type="paragraph" w:styleId="910" w:customStyle="1">
    <w:name w:val="Char Char1 Char Char Char Char"/>
    <w:basedOn w:val="795"/>
    <w:uiPriority w:val="99"/>
    <w:qFormat/>
    <w:pPr>
      <w:ind w:left="357"/>
      <w:jc w:val="left"/>
      <w:spacing w:line="436" w:lineRule="exact"/>
      <w:outlineLvl w:val="3"/>
    </w:pPr>
    <w:rPr>
      <w:rFonts w:ascii="Tahoma" w:hAnsi="Tahoma"/>
      <w:b/>
      <w:sz w:val="24"/>
      <w:szCs w:val="24"/>
    </w:rPr>
  </w:style>
  <w:style w:type="paragraph" w:styleId="911">
    <w:name w:val="List Paragraph"/>
    <w:basedOn w:val="724"/>
    <w:uiPriority w:val="34"/>
    <w:qFormat/>
    <w:pPr>
      <w:numPr>
        <w:ilvl w:val="0"/>
        <w:numId w:val="2"/>
      </w:numPr>
      <w:spacing w:line="360" w:lineRule="auto"/>
    </w:pPr>
    <w:rPr>
      <w:rFonts w:ascii="Arial" w:hAnsi="Arial" w:eastAsia="宋体" w:cs="宋体"/>
      <w:b/>
      <w:sz w:val="24"/>
      <w:szCs w:val="20"/>
    </w:rPr>
  </w:style>
  <w:style w:type="paragraph" w:styleId="912" w:customStyle="1">
    <w:name w:val="修订1"/>
    <w:uiPriority w:val="99"/>
    <w:semiHidden/>
    <w:qFormat/>
    <w:rPr>
      <w:rFonts w:ascii="Times New Roman" w:hAnsi="Times New Roman" w:eastAsia="宋体" w:cs="Times New Roman"/>
      <w:sz w:val="21"/>
      <w:lang w:val="en-US" w:eastAsia="zh-CN" w:bidi="ar-SA"/>
    </w:rPr>
  </w:style>
  <w:style w:type="paragraph" w:styleId="913" w:customStyle="1">
    <w:name w:val="列表段落1"/>
    <w:basedOn w:val="724"/>
    <w:uiPriority w:val="34"/>
    <w:qFormat/>
    <w:pPr>
      <w:ind w:firstLine="420"/>
    </w:pPr>
  </w:style>
  <w:style w:type="paragraph" w:styleId="914" w:customStyle="1">
    <w:name w:val="样式 小四 段前: 5 磅 段后: 5 磅 首行缩进:  2 字符"/>
    <w:basedOn w:val="724"/>
    <w:uiPriority w:val="0"/>
    <w:qFormat/>
    <w:pPr>
      <w:spacing w:line="360" w:lineRule="auto"/>
    </w:pPr>
    <w:rPr>
      <w:rFonts w:ascii="宋体" w:hAnsi="宋体"/>
      <w:szCs w:val="21"/>
    </w:rPr>
  </w:style>
  <w:style w:type="table" w:styleId="915" w:customStyle="1">
    <w:name w:val="网格型1"/>
    <w:basedOn w:val="781"/>
    <w:uiPriority w:val="59"/>
    <w:qFormat/>
    <w:tblPr>
      <w:tblCellMar>
        <w:left w:w="0" w:type="dxa"/>
        <w:top w:w="0" w:type="dxa"/>
        <w:right w:w="0" w:type="dxa"/>
        <w:bottom w:w="0" w:type="dxa"/>
      </w:tblCellMar>
    </w:tblPr>
  </w:style>
  <w:style w:type="table" w:styleId="916" w:customStyle="1">
    <w:name w:val="网格型2"/>
    <w:basedOn w:val="781"/>
    <w:uiPriority w:val="39"/>
    <w:qFormat/>
    <w:tblPr>
      <w:tblCellMar>
        <w:left w:w="0" w:type="dxa"/>
        <w:top w:w="0" w:type="dxa"/>
        <w:right w:w="0" w:type="dxa"/>
        <w:bottom w:w="0" w:type="dxa"/>
      </w:tblCellMar>
    </w:tblPr>
  </w:style>
  <w:style w:type="table" w:styleId="917" w:customStyle="1">
    <w:name w:val="网格型3"/>
    <w:basedOn w:val="781"/>
    <w:uiPriority w:val="39"/>
    <w:qFormat/>
    <w:tblPr>
      <w:tblCellMar>
        <w:left w:w="0" w:type="dxa"/>
        <w:top w:w="0" w:type="dxa"/>
        <w:right w:w="0" w:type="dxa"/>
        <w:bottom w:w="0" w:type="dxa"/>
      </w:tblCellMar>
    </w:tblPr>
  </w:style>
  <w:style w:type="table" w:styleId="918" w:customStyle="1">
    <w:name w:val="网格型4"/>
    <w:basedOn w:val="781"/>
    <w:uiPriority w:val="39"/>
    <w:qFormat/>
    <w:tblPr>
      <w:tblCellMar>
        <w:left w:w="0" w:type="dxa"/>
        <w:top w:w="0" w:type="dxa"/>
        <w:right w:w="0" w:type="dxa"/>
        <w:bottom w:w="0" w:type="dxa"/>
      </w:tblCellMar>
    </w:tblPr>
  </w:style>
  <w:style w:type="paragraph" w:styleId="919" w:customStyle="1">
    <w:name w:val="List Paragraph1"/>
    <w:basedOn w:val="724"/>
    <w:uiPriority w:val="0"/>
    <w:qFormat/>
    <w:pPr>
      <w:ind w:firstLine="420"/>
    </w:pPr>
    <w:rPr>
      <w:szCs w:val="21"/>
    </w:rPr>
  </w:style>
  <w:style w:type="paragraph" w:styleId="920" w:customStyle="1">
    <w:name w:val="标题 31"/>
    <w:basedOn w:val="724"/>
    <w:next w:val="724"/>
    <w:link w:val="921"/>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21" w:customStyle="1">
    <w:name w:val="标题 3 Char"/>
    <w:link w:val="920"/>
    <w:uiPriority w:val="0"/>
    <w:qFormat/>
    <w:rPr>
      <w:rFonts w:ascii="Times New Roman" w:hAnsi="Times New Roman" w:eastAsia="宋体" w:cs="Times New Roman"/>
      <w:b/>
      <w:bCs/>
      <w:sz w:val="32"/>
      <w:szCs w:val="32"/>
      <w:lang w:eastAsia="en-US"/>
    </w:rPr>
  </w:style>
  <w:style w:type="character" w:styleId="922" w:customStyle="1">
    <w:name w:val="Heading 1 Char"/>
    <w:uiPriority w:val="9"/>
    <w:qFormat/>
    <w:rPr>
      <w:rFonts w:ascii="Arial" w:hAnsi="Arial" w:eastAsia="Arial" w:cs="Arial"/>
      <w:sz w:val="40"/>
      <w:szCs w:val="40"/>
    </w:rPr>
  </w:style>
  <w:style w:type="character" w:styleId="923" w:customStyle="1">
    <w:name w:val="Heading 2 Char"/>
    <w:uiPriority w:val="9"/>
    <w:qFormat/>
    <w:rPr>
      <w:rFonts w:ascii="Arial" w:hAnsi="Arial" w:eastAsia="Arial" w:cs="Arial"/>
      <w:sz w:val="34"/>
    </w:rPr>
  </w:style>
  <w:style w:type="character" w:styleId="924" w:customStyle="1">
    <w:name w:val="Heading 3 Char"/>
    <w:uiPriority w:val="9"/>
    <w:qFormat/>
    <w:rPr>
      <w:rFonts w:ascii="Arial" w:hAnsi="Arial" w:eastAsia="Arial" w:cs="Arial"/>
      <w:sz w:val="30"/>
      <w:szCs w:val="30"/>
    </w:rPr>
  </w:style>
  <w:style w:type="character" w:styleId="925" w:customStyle="1">
    <w:name w:val="Heading 4 Char"/>
    <w:uiPriority w:val="9"/>
    <w:qFormat/>
    <w:rPr>
      <w:rFonts w:ascii="Arial" w:hAnsi="Arial" w:eastAsia="Arial" w:cs="Arial"/>
      <w:b/>
      <w:bCs/>
      <w:sz w:val="26"/>
      <w:szCs w:val="26"/>
    </w:rPr>
  </w:style>
  <w:style w:type="character" w:styleId="926" w:customStyle="1">
    <w:name w:val="Heading 5 Char"/>
    <w:uiPriority w:val="9"/>
    <w:qFormat/>
    <w:rPr>
      <w:rFonts w:ascii="Arial" w:hAnsi="Arial" w:eastAsia="Arial" w:cs="Arial"/>
      <w:b/>
      <w:bCs/>
      <w:sz w:val="24"/>
      <w:szCs w:val="24"/>
    </w:rPr>
  </w:style>
  <w:style w:type="character" w:styleId="927" w:customStyle="1">
    <w:name w:val="Heading 6 Char"/>
    <w:uiPriority w:val="9"/>
    <w:qFormat/>
    <w:rPr>
      <w:rFonts w:ascii="Arial" w:hAnsi="Arial" w:eastAsia="Arial" w:cs="Arial"/>
      <w:b/>
      <w:bCs/>
      <w:sz w:val="22"/>
      <w:szCs w:val="22"/>
    </w:rPr>
  </w:style>
  <w:style w:type="character" w:styleId="928" w:customStyle="1">
    <w:name w:val="Heading 7 Char"/>
    <w:uiPriority w:val="9"/>
    <w:qFormat/>
    <w:rPr>
      <w:rFonts w:ascii="Arial" w:hAnsi="Arial" w:eastAsia="Arial" w:cs="Arial"/>
      <w:b/>
      <w:bCs/>
      <w:i/>
      <w:iCs/>
      <w:sz w:val="22"/>
      <w:szCs w:val="22"/>
    </w:rPr>
  </w:style>
  <w:style w:type="character" w:styleId="929" w:customStyle="1">
    <w:name w:val="Heading 8 Char"/>
    <w:uiPriority w:val="9"/>
    <w:qFormat/>
    <w:rPr>
      <w:rFonts w:ascii="Arial" w:hAnsi="Arial" w:eastAsia="Arial" w:cs="Arial"/>
      <w:i/>
      <w:iCs/>
      <w:sz w:val="22"/>
      <w:szCs w:val="22"/>
    </w:rPr>
  </w:style>
  <w:style w:type="character" w:styleId="930" w:customStyle="1">
    <w:name w:val="Heading 9 Char"/>
    <w:uiPriority w:val="9"/>
    <w:qFormat/>
    <w:rPr>
      <w:rFonts w:ascii="Arial" w:hAnsi="Arial" w:eastAsia="Arial" w:cs="Arial"/>
      <w:i/>
      <w:iCs/>
      <w:sz w:val="21"/>
      <w:szCs w:val="21"/>
    </w:rPr>
  </w:style>
  <w:style w:type="paragraph" w:styleId="931">
    <w:name w:val="No Spacing"/>
    <w:uiPriority w:val="1"/>
    <w:qFormat/>
    <w:rPr>
      <w:rFonts w:ascii="Calibri" w:hAnsi="Calibri" w:eastAsia="宋体" w:cs="Times New Roman"/>
      <w:lang w:val="en-US" w:eastAsia="zh-CN" w:bidi="ar-SA"/>
    </w:rPr>
  </w:style>
  <w:style w:type="character" w:styleId="932" w:customStyle="1">
    <w:name w:val="Title Char"/>
    <w:uiPriority w:val="10"/>
    <w:qFormat/>
    <w:rPr>
      <w:sz w:val="48"/>
      <w:szCs w:val="48"/>
    </w:rPr>
  </w:style>
  <w:style w:type="character" w:styleId="933" w:customStyle="1">
    <w:name w:val="Subtitle Char"/>
    <w:uiPriority w:val="11"/>
    <w:qFormat/>
    <w:rPr>
      <w:sz w:val="24"/>
      <w:szCs w:val="24"/>
    </w:rPr>
  </w:style>
  <w:style w:type="paragraph" w:styleId="934">
    <w:name w:val="Quote"/>
    <w:basedOn w:val="724"/>
    <w:next w:val="724"/>
    <w:link w:val="935"/>
    <w:uiPriority w:val="29"/>
    <w:qFormat/>
    <w:pPr>
      <w:ind w:left="720" w:right="720"/>
    </w:pPr>
    <w:rPr>
      <w:rFonts w:ascii="Times New Roman" w:hAnsi="Times New Roman" w:eastAsia="宋体"/>
      <w:i/>
      <w:szCs w:val="21"/>
    </w:rPr>
  </w:style>
  <w:style w:type="character" w:styleId="935" w:customStyle="1">
    <w:name w:val="引用 Char"/>
    <w:basedOn w:val="780"/>
    <w:link w:val="934"/>
    <w:uiPriority w:val="29"/>
    <w:qFormat/>
    <w:rPr>
      <w:rFonts w:ascii="Times New Roman" w:hAnsi="Times New Roman" w:eastAsia="宋体" w:cs="Times New Roman"/>
      <w:i/>
      <w:sz w:val="21"/>
      <w:szCs w:val="21"/>
    </w:rPr>
  </w:style>
  <w:style w:type="character" w:styleId="936" w:customStyle="1">
    <w:name w:val="Quote Char"/>
    <w:uiPriority w:val="29"/>
    <w:qFormat/>
    <w:rPr>
      <w:i/>
    </w:rPr>
  </w:style>
  <w:style w:type="paragraph" w:styleId="937">
    <w:name w:val="Intense Quote"/>
    <w:basedOn w:val="724"/>
    <w:next w:val="724"/>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38" w:customStyle="1">
    <w:name w:val="明显引用 Char"/>
    <w:basedOn w:val="780"/>
    <w:link w:val="937"/>
    <w:uiPriority w:val="30"/>
    <w:qFormat/>
    <w:rPr>
      <w:rFonts w:ascii="Times New Roman" w:hAnsi="Times New Roman" w:eastAsia="宋体" w:cs="Times New Roman"/>
      <w:i/>
      <w:sz w:val="21"/>
      <w:szCs w:val="21"/>
      <w:shd w:val="clear" w:color="auto" w:fill="f2f2f2"/>
    </w:rPr>
  </w:style>
  <w:style w:type="character" w:styleId="939" w:customStyle="1">
    <w:name w:val="Intense Quote Char"/>
    <w:uiPriority w:val="30"/>
    <w:qFormat/>
    <w:rPr>
      <w:i/>
    </w:rPr>
  </w:style>
  <w:style w:type="character" w:styleId="940" w:customStyle="1">
    <w:name w:val="Header Char"/>
    <w:uiPriority w:val="99"/>
    <w:qFormat/>
  </w:style>
  <w:style w:type="character" w:styleId="941" w:customStyle="1">
    <w:name w:val="Footer Char"/>
    <w:uiPriority w:val="99"/>
    <w:qFormat/>
  </w:style>
  <w:style w:type="character" w:styleId="942" w:customStyle="1">
    <w:name w:val="Caption Char"/>
    <w:uiPriority w:val="99"/>
    <w:qFormat/>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paragraph" w:styleId="945" w:customStyle="1">
    <w:name w:val="目录 71"/>
    <w:basedOn w:val="724"/>
    <w:next w:val="724"/>
    <w:uiPriority w:val="39"/>
    <w:unhideWhenUsed/>
    <w:qFormat/>
    <w:pPr>
      <w:ind w:left="1701"/>
      <w:spacing w:after="57"/>
    </w:pPr>
    <w:rPr>
      <w:rFonts w:ascii="Times New Roman" w:hAnsi="Times New Roman" w:eastAsia="宋体"/>
      <w:szCs w:val="21"/>
    </w:rPr>
  </w:style>
  <w:style w:type="paragraph" w:styleId="946" w:customStyle="1">
    <w:name w:val="目录 51"/>
    <w:basedOn w:val="724"/>
    <w:next w:val="724"/>
    <w:uiPriority w:val="39"/>
    <w:unhideWhenUsed/>
    <w:qFormat/>
    <w:pPr>
      <w:ind w:left="1134"/>
      <w:spacing w:after="57"/>
    </w:pPr>
    <w:rPr>
      <w:rFonts w:ascii="Times New Roman" w:hAnsi="Times New Roman" w:eastAsia="宋体"/>
      <w:szCs w:val="21"/>
    </w:rPr>
  </w:style>
  <w:style w:type="paragraph" w:styleId="947" w:customStyle="1">
    <w:name w:val="目录 31"/>
    <w:basedOn w:val="724"/>
    <w:next w:val="724"/>
    <w:uiPriority w:val="39"/>
    <w:unhideWhenUsed/>
    <w:qFormat/>
    <w:pPr>
      <w:ind w:left="567"/>
      <w:spacing w:after="57"/>
    </w:pPr>
    <w:rPr>
      <w:rFonts w:ascii="Times New Roman" w:hAnsi="Times New Roman" w:eastAsia="宋体"/>
      <w:szCs w:val="21"/>
    </w:rPr>
  </w:style>
  <w:style w:type="paragraph" w:styleId="948" w:customStyle="1">
    <w:name w:val="目录 81"/>
    <w:basedOn w:val="724"/>
    <w:next w:val="724"/>
    <w:uiPriority w:val="39"/>
    <w:unhideWhenUsed/>
    <w:qFormat/>
    <w:pPr>
      <w:ind w:left="1984"/>
      <w:spacing w:after="57"/>
    </w:pPr>
    <w:rPr>
      <w:rFonts w:ascii="Times New Roman" w:hAnsi="Times New Roman" w:eastAsia="宋体"/>
      <w:szCs w:val="21"/>
    </w:rPr>
  </w:style>
  <w:style w:type="character" w:styleId="949" w:customStyle="1">
    <w:name w:val="页脚 字符1"/>
    <w:uiPriority w:val="99"/>
    <w:qFormat/>
  </w:style>
  <w:style w:type="paragraph" w:styleId="950" w:customStyle="1">
    <w:name w:val="目录 11"/>
    <w:basedOn w:val="724"/>
    <w:next w:val="724"/>
    <w:uiPriority w:val="39"/>
    <w:unhideWhenUsed/>
    <w:qFormat/>
    <w:pPr>
      <w:spacing w:after="57"/>
    </w:pPr>
    <w:rPr>
      <w:rFonts w:ascii="Times New Roman" w:hAnsi="Times New Roman" w:eastAsia="宋体"/>
      <w:szCs w:val="21"/>
    </w:rPr>
  </w:style>
  <w:style w:type="paragraph" w:styleId="951" w:customStyle="1">
    <w:name w:val="目录 41"/>
    <w:basedOn w:val="724"/>
    <w:next w:val="724"/>
    <w:uiPriority w:val="39"/>
    <w:unhideWhenUsed/>
    <w:qFormat/>
    <w:pPr>
      <w:ind w:left="850"/>
      <w:spacing w:after="57"/>
    </w:pPr>
    <w:rPr>
      <w:rFonts w:ascii="Times New Roman" w:hAnsi="Times New Roman" w:eastAsia="宋体"/>
      <w:szCs w:val="21"/>
    </w:rPr>
  </w:style>
  <w:style w:type="paragraph" w:styleId="952" w:customStyle="1">
    <w:name w:val="目录 61"/>
    <w:basedOn w:val="724"/>
    <w:next w:val="724"/>
    <w:uiPriority w:val="39"/>
    <w:unhideWhenUsed/>
    <w:qFormat/>
    <w:pPr>
      <w:ind w:left="1417"/>
      <w:spacing w:after="57"/>
    </w:pPr>
    <w:rPr>
      <w:rFonts w:ascii="Times New Roman" w:hAnsi="Times New Roman" w:eastAsia="宋体"/>
      <w:szCs w:val="21"/>
    </w:rPr>
  </w:style>
  <w:style w:type="paragraph" w:styleId="953" w:customStyle="1">
    <w:name w:val="目录 21"/>
    <w:basedOn w:val="724"/>
    <w:next w:val="724"/>
    <w:uiPriority w:val="39"/>
    <w:unhideWhenUsed/>
    <w:qFormat/>
    <w:pPr>
      <w:ind w:left="283"/>
      <w:spacing w:after="57"/>
    </w:pPr>
    <w:rPr>
      <w:rFonts w:ascii="Times New Roman" w:hAnsi="Times New Roman" w:eastAsia="宋体"/>
      <w:szCs w:val="21"/>
    </w:rPr>
  </w:style>
  <w:style w:type="paragraph" w:styleId="954" w:customStyle="1">
    <w:name w:val="目录 91"/>
    <w:basedOn w:val="724"/>
    <w:next w:val="724"/>
    <w:uiPriority w:val="39"/>
    <w:unhideWhenUsed/>
    <w:qFormat/>
    <w:pPr>
      <w:ind w:left="2268"/>
      <w:spacing w:after="57"/>
    </w:pPr>
    <w:rPr>
      <w:rFonts w:ascii="Times New Roman" w:hAnsi="Times New Roman" w:eastAsia="宋体"/>
      <w:szCs w:val="21"/>
    </w:rPr>
  </w:style>
  <w:style w:type="character" w:styleId="955" w:customStyle="1">
    <w:name w:val="font5 Char"/>
    <w:uiPriority w:val="0"/>
    <w:qFormat/>
    <w:rPr>
      <w:rFonts w:ascii="宋体" w:hAnsi="宋体" w:eastAsia="宋体"/>
      <w:sz w:val="28"/>
      <w:szCs w:val="28"/>
      <w:lang w:val="en-US" w:eastAsia="zh-CN" w:bidi="ar-SA"/>
    </w:rPr>
  </w:style>
  <w:style w:type="paragraph" w:styleId="956" w:customStyle="1">
    <w:name w:val="列出段落2"/>
    <w:basedOn w:val="724"/>
    <w:uiPriority w:val="34"/>
    <w:qFormat/>
    <w:pPr>
      <w:contextualSpacing/>
      <w:ind w:left="720"/>
    </w:pPr>
    <w:rPr>
      <w:rFonts w:ascii="Times New Roman" w:hAnsi="Times New Roman" w:eastAsia="宋体"/>
      <w:szCs w:val="21"/>
    </w:rPr>
  </w:style>
  <w:style w:type="table" w:styleId="957" w:customStyle="1">
    <w:name w:val="Table Grid Light"/>
    <w:uiPriority w:val="59"/>
    <w:qFormat/>
    <w:rPr>
      <w:rFonts w:ascii="Calibri" w:hAnsi="Calibri"/>
    </w:rPr>
    <w:tblPr>
      <w:tblCellMar>
        <w:left w:w="0" w:type="dxa"/>
        <w:top w:w="0" w:type="dxa"/>
        <w:right w:w="0" w:type="dxa"/>
        <w:bottom w:w="0" w:type="dxa"/>
      </w:tblCellMar>
    </w:tblPr>
  </w:style>
  <w:style w:type="table" w:styleId="958" w:customStyle="1">
    <w:name w:val="Plain Table 1"/>
    <w:uiPriority w:val="59"/>
    <w:qFormat/>
    <w:rPr>
      <w:rFonts w:ascii="Calibri" w:hAnsi="Calibri"/>
    </w:rPr>
    <w:tblPr>
      <w:tblCellMar>
        <w:left w:w="0" w:type="dxa"/>
        <w:top w:w="0" w:type="dxa"/>
        <w:right w:w="0" w:type="dxa"/>
        <w:bottom w:w="0" w:type="dxa"/>
      </w:tblCellMar>
    </w:tblPr>
  </w:style>
  <w:style w:type="table" w:styleId="959" w:customStyle="1">
    <w:name w:val="Plain Table 2"/>
    <w:uiPriority w:val="59"/>
    <w:qFormat/>
    <w:rPr>
      <w:rFonts w:ascii="Calibri" w:hAnsi="Calibri"/>
    </w:rPr>
    <w:tblPr>
      <w:tblCellMar>
        <w:left w:w="0" w:type="dxa"/>
        <w:top w:w="0" w:type="dxa"/>
        <w:right w:w="0" w:type="dxa"/>
        <w:bottom w:w="0" w:type="dxa"/>
      </w:tblCellMar>
    </w:tblPr>
  </w:style>
  <w:style w:type="table" w:styleId="960" w:customStyle="1">
    <w:name w:val="Plain Table 3"/>
    <w:uiPriority w:val="99"/>
    <w:qFormat/>
    <w:rPr>
      <w:rFonts w:ascii="Calibri" w:hAnsi="Calibri"/>
    </w:rPr>
    <w:tblPr>
      <w:tblCellMar>
        <w:left w:w="0" w:type="dxa"/>
        <w:top w:w="0" w:type="dxa"/>
        <w:right w:w="0" w:type="dxa"/>
        <w:bottom w:w="0" w:type="dxa"/>
      </w:tblCellMar>
    </w:tblPr>
  </w:style>
  <w:style w:type="table" w:styleId="961" w:customStyle="1">
    <w:name w:val="Plain Table 4"/>
    <w:uiPriority w:val="99"/>
    <w:qFormat/>
    <w:rPr>
      <w:rFonts w:ascii="Calibri" w:hAnsi="Calibri"/>
    </w:rPr>
    <w:tblPr>
      <w:tblCellMar>
        <w:left w:w="0" w:type="dxa"/>
        <w:top w:w="0" w:type="dxa"/>
        <w:right w:w="0" w:type="dxa"/>
        <w:bottom w:w="0" w:type="dxa"/>
      </w:tblCellMar>
    </w:tblPr>
  </w:style>
  <w:style w:type="table" w:styleId="962" w:customStyle="1">
    <w:name w:val="Plain Table 5"/>
    <w:uiPriority w:val="99"/>
    <w:qFormat/>
    <w:rPr>
      <w:rFonts w:ascii="Calibri" w:hAnsi="Calibri"/>
    </w:rPr>
    <w:tblPr>
      <w:tblCellMar>
        <w:left w:w="0" w:type="dxa"/>
        <w:top w:w="0" w:type="dxa"/>
        <w:right w:w="0" w:type="dxa"/>
        <w:bottom w:w="0" w:type="dxa"/>
      </w:tblCellMar>
    </w:tblPr>
  </w:style>
  <w:style w:type="table" w:styleId="963" w:customStyle="1">
    <w:name w:val="Grid Table 1 Light"/>
    <w:uiPriority w:val="99"/>
    <w:qFormat/>
    <w:rPr>
      <w:rFonts w:ascii="Calibri" w:hAnsi="Calibri"/>
    </w:rPr>
    <w:tblPr>
      <w:tblCellMar>
        <w:left w:w="0" w:type="dxa"/>
        <w:top w:w="0" w:type="dxa"/>
        <w:right w:w="0" w:type="dxa"/>
        <w:bottom w:w="0" w:type="dxa"/>
      </w:tblCellMar>
    </w:tblPr>
  </w:style>
  <w:style w:type="table" w:styleId="964" w:customStyle="1">
    <w:name w:val="Grid Table 1 Light - Accent 1"/>
    <w:uiPriority w:val="99"/>
    <w:qFormat/>
    <w:rPr>
      <w:rFonts w:ascii="Calibri" w:hAnsi="Calibri"/>
    </w:rPr>
    <w:tblPr>
      <w:tblCellMar>
        <w:left w:w="0" w:type="dxa"/>
        <w:top w:w="0" w:type="dxa"/>
        <w:right w:w="0" w:type="dxa"/>
        <w:bottom w:w="0" w:type="dxa"/>
      </w:tblCellMar>
    </w:tblPr>
  </w:style>
  <w:style w:type="table" w:styleId="965" w:customStyle="1">
    <w:name w:val="Grid Table 1 Light - Accent 2"/>
    <w:uiPriority w:val="99"/>
    <w:qFormat/>
    <w:rPr>
      <w:rFonts w:ascii="Calibri" w:hAnsi="Calibri"/>
    </w:rPr>
    <w:tblPr>
      <w:tblCellMar>
        <w:left w:w="0" w:type="dxa"/>
        <w:top w:w="0" w:type="dxa"/>
        <w:right w:w="0" w:type="dxa"/>
        <w:bottom w:w="0" w:type="dxa"/>
      </w:tblCellMar>
    </w:tblPr>
  </w:style>
  <w:style w:type="table" w:styleId="966" w:customStyle="1">
    <w:name w:val="Grid Table 1 Light - Accent 3"/>
    <w:uiPriority w:val="99"/>
    <w:qFormat/>
    <w:rPr>
      <w:rFonts w:ascii="Calibri" w:hAnsi="Calibri"/>
    </w:rPr>
    <w:tblPr>
      <w:tblCellMar>
        <w:left w:w="0" w:type="dxa"/>
        <w:top w:w="0" w:type="dxa"/>
        <w:right w:w="0" w:type="dxa"/>
        <w:bottom w:w="0" w:type="dxa"/>
      </w:tblCellMar>
    </w:tblPr>
  </w:style>
  <w:style w:type="table" w:styleId="967" w:customStyle="1">
    <w:name w:val="Grid Table 1 Light - Accent 4"/>
    <w:uiPriority w:val="99"/>
    <w:qFormat/>
    <w:rPr>
      <w:rFonts w:ascii="Calibri" w:hAnsi="Calibri"/>
    </w:rPr>
    <w:tblPr>
      <w:tblCellMar>
        <w:left w:w="0" w:type="dxa"/>
        <w:top w:w="0" w:type="dxa"/>
        <w:right w:w="0" w:type="dxa"/>
        <w:bottom w:w="0" w:type="dxa"/>
      </w:tblCellMar>
    </w:tblPr>
  </w:style>
  <w:style w:type="table" w:styleId="968" w:customStyle="1">
    <w:name w:val="Grid Table 1 Light - Accent 5"/>
    <w:uiPriority w:val="99"/>
    <w:qFormat/>
    <w:rPr>
      <w:rFonts w:ascii="Calibri" w:hAnsi="Calibri"/>
    </w:rPr>
    <w:tblPr>
      <w:tblCellMar>
        <w:left w:w="0" w:type="dxa"/>
        <w:top w:w="0" w:type="dxa"/>
        <w:right w:w="0" w:type="dxa"/>
        <w:bottom w:w="0" w:type="dxa"/>
      </w:tblCellMar>
    </w:tblPr>
  </w:style>
  <w:style w:type="table" w:styleId="969" w:customStyle="1">
    <w:name w:val="Grid Table 1 Light - Accent 6"/>
    <w:uiPriority w:val="99"/>
    <w:qFormat/>
    <w:rPr>
      <w:rFonts w:ascii="Calibri" w:hAnsi="Calibri"/>
    </w:rPr>
    <w:tblPr>
      <w:tblCellMar>
        <w:left w:w="0" w:type="dxa"/>
        <w:top w:w="0" w:type="dxa"/>
        <w:right w:w="0" w:type="dxa"/>
        <w:bottom w:w="0" w:type="dxa"/>
      </w:tblCellMar>
    </w:tblPr>
  </w:style>
  <w:style w:type="table" w:styleId="970" w:customStyle="1">
    <w:name w:val="Grid Table 2"/>
    <w:uiPriority w:val="99"/>
    <w:qFormat/>
    <w:rPr>
      <w:rFonts w:ascii="Calibri" w:hAnsi="Calibri"/>
    </w:rPr>
    <w:tblPr>
      <w:tblCellMar>
        <w:left w:w="0" w:type="dxa"/>
        <w:top w:w="0" w:type="dxa"/>
        <w:right w:w="0" w:type="dxa"/>
        <w:bottom w:w="0" w:type="dxa"/>
      </w:tblCellMar>
    </w:tblPr>
  </w:style>
  <w:style w:type="table" w:styleId="971" w:customStyle="1">
    <w:name w:val="Grid Table 2 - Accent 1"/>
    <w:uiPriority w:val="99"/>
    <w:qFormat/>
    <w:rPr>
      <w:rFonts w:ascii="Calibri" w:hAnsi="Calibri"/>
    </w:rPr>
    <w:tblPr>
      <w:tblCellMar>
        <w:left w:w="0" w:type="dxa"/>
        <w:top w:w="0" w:type="dxa"/>
        <w:right w:w="0" w:type="dxa"/>
        <w:bottom w:w="0" w:type="dxa"/>
      </w:tblCellMar>
    </w:tblPr>
  </w:style>
  <w:style w:type="table" w:styleId="972" w:customStyle="1">
    <w:name w:val="Grid Table 2 - Accent 2"/>
    <w:uiPriority w:val="99"/>
    <w:qFormat/>
    <w:rPr>
      <w:rFonts w:ascii="Calibri" w:hAnsi="Calibri"/>
    </w:rPr>
    <w:tblPr>
      <w:tblCellMar>
        <w:left w:w="0" w:type="dxa"/>
        <w:top w:w="0" w:type="dxa"/>
        <w:right w:w="0" w:type="dxa"/>
        <w:bottom w:w="0" w:type="dxa"/>
      </w:tblCellMar>
    </w:tblPr>
  </w:style>
  <w:style w:type="table" w:styleId="973" w:customStyle="1">
    <w:name w:val="Grid Table 2 - Accent 3"/>
    <w:uiPriority w:val="99"/>
    <w:qFormat/>
    <w:rPr>
      <w:rFonts w:ascii="Calibri" w:hAnsi="Calibri"/>
    </w:rPr>
    <w:tblPr>
      <w:tblCellMar>
        <w:left w:w="0" w:type="dxa"/>
        <w:top w:w="0" w:type="dxa"/>
        <w:right w:w="0" w:type="dxa"/>
        <w:bottom w:w="0" w:type="dxa"/>
      </w:tblCellMar>
    </w:tblPr>
  </w:style>
  <w:style w:type="table" w:styleId="974" w:customStyle="1">
    <w:name w:val="Grid Table 2 - Accent 4"/>
    <w:uiPriority w:val="99"/>
    <w:qFormat/>
    <w:rPr>
      <w:rFonts w:ascii="Calibri" w:hAnsi="Calibri"/>
    </w:rPr>
    <w:tblPr>
      <w:tblCellMar>
        <w:left w:w="0" w:type="dxa"/>
        <w:top w:w="0" w:type="dxa"/>
        <w:right w:w="0" w:type="dxa"/>
        <w:bottom w:w="0" w:type="dxa"/>
      </w:tblCellMar>
    </w:tblPr>
  </w:style>
  <w:style w:type="table" w:styleId="975" w:customStyle="1">
    <w:name w:val="Grid Table 2 - Accent 5"/>
    <w:uiPriority w:val="99"/>
    <w:qFormat/>
    <w:rPr>
      <w:rFonts w:ascii="Calibri" w:hAnsi="Calibri"/>
    </w:rPr>
    <w:tblPr>
      <w:tblCellMar>
        <w:left w:w="0" w:type="dxa"/>
        <w:top w:w="0" w:type="dxa"/>
        <w:right w:w="0" w:type="dxa"/>
        <w:bottom w:w="0" w:type="dxa"/>
      </w:tblCellMar>
    </w:tblPr>
  </w:style>
  <w:style w:type="table" w:styleId="976" w:customStyle="1">
    <w:name w:val="Grid Table 2 - Accent 6"/>
    <w:uiPriority w:val="99"/>
    <w:qFormat/>
    <w:rPr>
      <w:rFonts w:ascii="Calibri" w:hAnsi="Calibri"/>
    </w:rPr>
    <w:tblPr>
      <w:tblCellMar>
        <w:left w:w="0" w:type="dxa"/>
        <w:top w:w="0" w:type="dxa"/>
        <w:right w:w="0" w:type="dxa"/>
        <w:bottom w:w="0" w:type="dxa"/>
      </w:tblCellMar>
    </w:tblPr>
  </w:style>
  <w:style w:type="table" w:styleId="977" w:customStyle="1">
    <w:name w:val="Grid Table 3"/>
    <w:uiPriority w:val="99"/>
    <w:qFormat/>
    <w:rPr>
      <w:rFonts w:ascii="Calibri" w:hAnsi="Calibri"/>
    </w:rPr>
    <w:tblPr>
      <w:tblCellMar>
        <w:left w:w="0" w:type="dxa"/>
        <w:top w:w="0" w:type="dxa"/>
        <w:right w:w="0" w:type="dxa"/>
        <w:bottom w:w="0" w:type="dxa"/>
      </w:tblCellMar>
    </w:tblPr>
  </w:style>
  <w:style w:type="table" w:styleId="978" w:customStyle="1">
    <w:name w:val="Grid Table 3 - Accent 1"/>
    <w:uiPriority w:val="99"/>
    <w:qFormat/>
    <w:rPr>
      <w:rFonts w:ascii="Calibri" w:hAnsi="Calibri"/>
    </w:rPr>
    <w:tblPr>
      <w:tblCellMar>
        <w:left w:w="0" w:type="dxa"/>
        <w:top w:w="0" w:type="dxa"/>
        <w:right w:w="0" w:type="dxa"/>
        <w:bottom w:w="0" w:type="dxa"/>
      </w:tblCellMar>
    </w:tblPr>
  </w:style>
  <w:style w:type="table" w:styleId="979" w:customStyle="1">
    <w:name w:val="Grid Table 3 - Accent 2"/>
    <w:uiPriority w:val="99"/>
    <w:qFormat/>
    <w:rPr>
      <w:rFonts w:ascii="Calibri" w:hAnsi="Calibri"/>
    </w:rPr>
    <w:tblPr>
      <w:tblCellMar>
        <w:left w:w="0" w:type="dxa"/>
        <w:top w:w="0" w:type="dxa"/>
        <w:right w:w="0" w:type="dxa"/>
        <w:bottom w:w="0" w:type="dxa"/>
      </w:tblCellMar>
    </w:tblPr>
  </w:style>
  <w:style w:type="table" w:styleId="980" w:customStyle="1">
    <w:name w:val="Grid Table 3 - Accent 3"/>
    <w:uiPriority w:val="99"/>
    <w:qFormat/>
    <w:rPr>
      <w:rFonts w:ascii="Calibri" w:hAnsi="Calibri"/>
    </w:rPr>
    <w:tblPr>
      <w:tblCellMar>
        <w:left w:w="0" w:type="dxa"/>
        <w:top w:w="0" w:type="dxa"/>
        <w:right w:w="0" w:type="dxa"/>
        <w:bottom w:w="0" w:type="dxa"/>
      </w:tblCellMar>
    </w:tblPr>
  </w:style>
  <w:style w:type="table" w:styleId="981" w:customStyle="1">
    <w:name w:val="Grid Table 3 - Accent 4"/>
    <w:uiPriority w:val="99"/>
    <w:qFormat/>
    <w:rPr>
      <w:rFonts w:ascii="Calibri" w:hAnsi="Calibri"/>
    </w:rPr>
    <w:tblPr>
      <w:tblCellMar>
        <w:left w:w="0" w:type="dxa"/>
        <w:top w:w="0" w:type="dxa"/>
        <w:right w:w="0" w:type="dxa"/>
        <w:bottom w:w="0" w:type="dxa"/>
      </w:tblCellMar>
    </w:tblPr>
  </w:style>
  <w:style w:type="table" w:styleId="982" w:customStyle="1">
    <w:name w:val="Grid Table 3 - Accent 5"/>
    <w:uiPriority w:val="99"/>
    <w:qFormat/>
    <w:rPr>
      <w:rFonts w:ascii="Calibri" w:hAnsi="Calibri"/>
    </w:rPr>
    <w:tblPr>
      <w:tblCellMar>
        <w:left w:w="0" w:type="dxa"/>
        <w:top w:w="0" w:type="dxa"/>
        <w:right w:w="0" w:type="dxa"/>
        <w:bottom w:w="0" w:type="dxa"/>
      </w:tblCellMar>
    </w:tblPr>
  </w:style>
  <w:style w:type="table" w:styleId="983" w:customStyle="1">
    <w:name w:val="Grid Table 3 - Accent 6"/>
    <w:uiPriority w:val="99"/>
    <w:qFormat/>
    <w:rPr>
      <w:rFonts w:ascii="Calibri" w:hAnsi="Calibri"/>
    </w:rPr>
    <w:tblPr>
      <w:tblCellMar>
        <w:left w:w="0" w:type="dxa"/>
        <w:top w:w="0" w:type="dxa"/>
        <w:right w:w="0" w:type="dxa"/>
        <w:bottom w:w="0" w:type="dxa"/>
      </w:tblCellMar>
    </w:tblPr>
  </w:style>
  <w:style w:type="table" w:styleId="984" w:customStyle="1">
    <w:name w:val="Grid Table 4"/>
    <w:uiPriority w:val="59"/>
    <w:qFormat/>
    <w:rPr>
      <w:rFonts w:ascii="Calibri" w:hAnsi="Calibri"/>
    </w:rPr>
    <w:tblPr>
      <w:tblCellMar>
        <w:left w:w="0" w:type="dxa"/>
        <w:top w:w="0" w:type="dxa"/>
        <w:right w:w="0" w:type="dxa"/>
        <w:bottom w:w="0" w:type="dxa"/>
      </w:tblCellMar>
    </w:tblPr>
  </w:style>
  <w:style w:type="table" w:styleId="985" w:customStyle="1">
    <w:name w:val="Grid Table 4 - Accent 1"/>
    <w:uiPriority w:val="59"/>
    <w:qFormat/>
    <w:rPr>
      <w:rFonts w:ascii="Calibri" w:hAnsi="Calibri"/>
    </w:rPr>
    <w:tblPr>
      <w:tblCellMar>
        <w:left w:w="0" w:type="dxa"/>
        <w:top w:w="0" w:type="dxa"/>
        <w:right w:w="0" w:type="dxa"/>
        <w:bottom w:w="0" w:type="dxa"/>
      </w:tblCellMar>
    </w:tblPr>
  </w:style>
  <w:style w:type="table" w:styleId="986" w:customStyle="1">
    <w:name w:val="Grid Table 4 - Accent 2"/>
    <w:uiPriority w:val="59"/>
    <w:qFormat/>
    <w:rPr>
      <w:rFonts w:ascii="Calibri" w:hAnsi="Calibri"/>
    </w:rPr>
    <w:tblPr>
      <w:tblCellMar>
        <w:left w:w="0" w:type="dxa"/>
        <w:top w:w="0" w:type="dxa"/>
        <w:right w:w="0" w:type="dxa"/>
        <w:bottom w:w="0" w:type="dxa"/>
      </w:tblCellMar>
    </w:tblPr>
  </w:style>
  <w:style w:type="table" w:styleId="987" w:customStyle="1">
    <w:name w:val="Grid Table 4 - Accent 3"/>
    <w:uiPriority w:val="59"/>
    <w:qFormat/>
    <w:rPr>
      <w:rFonts w:ascii="Calibri" w:hAnsi="Calibri"/>
    </w:rPr>
    <w:tblPr>
      <w:tblCellMar>
        <w:left w:w="0" w:type="dxa"/>
        <w:top w:w="0" w:type="dxa"/>
        <w:right w:w="0" w:type="dxa"/>
        <w:bottom w:w="0" w:type="dxa"/>
      </w:tblCellMar>
    </w:tblPr>
  </w:style>
  <w:style w:type="table" w:styleId="988" w:customStyle="1">
    <w:name w:val="Grid Table 4 - Accent 4"/>
    <w:uiPriority w:val="59"/>
    <w:qFormat/>
    <w:rPr>
      <w:rFonts w:ascii="Calibri" w:hAnsi="Calibri"/>
    </w:rPr>
    <w:tblPr>
      <w:tblCellMar>
        <w:left w:w="0" w:type="dxa"/>
        <w:top w:w="0" w:type="dxa"/>
        <w:right w:w="0" w:type="dxa"/>
        <w:bottom w:w="0" w:type="dxa"/>
      </w:tblCellMar>
    </w:tblPr>
  </w:style>
  <w:style w:type="table" w:styleId="989" w:customStyle="1">
    <w:name w:val="Grid Table 4 - Accent 5"/>
    <w:uiPriority w:val="59"/>
    <w:qFormat/>
    <w:rPr>
      <w:rFonts w:ascii="Calibri" w:hAnsi="Calibri"/>
    </w:rPr>
    <w:tblPr>
      <w:tblCellMar>
        <w:left w:w="0" w:type="dxa"/>
        <w:top w:w="0" w:type="dxa"/>
        <w:right w:w="0" w:type="dxa"/>
        <w:bottom w:w="0" w:type="dxa"/>
      </w:tblCellMar>
    </w:tblPr>
  </w:style>
  <w:style w:type="table" w:styleId="990" w:customStyle="1">
    <w:name w:val="Grid Table 4 - Accent 6"/>
    <w:uiPriority w:val="59"/>
    <w:qFormat/>
    <w:rPr>
      <w:rFonts w:ascii="Calibri" w:hAnsi="Calibri"/>
    </w:rPr>
    <w:tblPr>
      <w:tblCellMar>
        <w:left w:w="0" w:type="dxa"/>
        <w:top w:w="0" w:type="dxa"/>
        <w:right w:w="0" w:type="dxa"/>
        <w:bottom w:w="0" w:type="dxa"/>
      </w:tblCellMar>
    </w:tblPr>
  </w:style>
  <w:style w:type="table" w:styleId="991" w:customStyle="1">
    <w:name w:val="Grid Table 5 Dark"/>
    <w:uiPriority w:val="99"/>
    <w:qFormat/>
    <w:rPr>
      <w:rFonts w:ascii="Calibri" w:hAnsi="Calibri"/>
    </w:rPr>
    <w:tblPr>
      <w:tblCellMar>
        <w:left w:w="0" w:type="dxa"/>
        <w:top w:w="0" w:type="dxa"/>
        <w:right w:w="0" w:type="dxa"/>
        <w:bottom w:w="0" w:type="dxa"/>
      </w:tblCellMar>
    </w:tblPr>
  </w:style>
  <w:style w:type="table" w:styleId="992" w:customStyle="1">
    <w:name w:val="Grid Table 5 Dark- Accent 1"/>
    <w:uiPriority w:val="99"/>
    <w:qFormat/>
    <w:rPr>
      <w:rFonts w:ascii="Calibri" w:hAnsi="Calibri"/>
    </w:rPr>
    <w:tblPr>
      <w:tblCellMar>
        <w:left w:w="0" w:type="dxa"/>
        <w:top w:w="0" w:type="dxa"/>
        <w:right w:w="0" w:type="dxa"/>
        <w:bottom w:w="0" w:type="dxa"/>
      </w:tblCellMar>
    </w:tblPr>
  </w:style>
  <w:style w:type="table" w:styleId="993" w:customStyle="1">
    <w:name w:val="Grid Table 5 Dark - Accent 2"/>
    <w:uiPriority w:val="99"/>
    <w:qFormat/>
    <w:rPr>
      <w:rFonts w:ascii="Calibri" w:hAnsi="Calibri"/>
    </w:rPr>
    <w:tblPr>
      <w:tblCellMar>
        <w:left w:w="0" w:type="dxa"/>
        <w:top w:w="0" w:type="dxa"/>
        <w:right w:w="0" w:type="dxa"/>
        <w:bottom w:w="0" w:type="dxa"/>
      </w:tblCellMar>
    </w:tblPr>
  </w:style>
  <w:style w:type="table" w:styleId="994" w:customStyle="1">
    <w:name w:val="Grid Table 5 Dark - Accent 3"/>
    <w:uiPriority w:val="99"/>
    <w:qFormat/>
    <w:rPr>
      <w:rFonts w:ascii="Calibri" w:hAnsi="Calibri"/>
    </w:rPr>
    <w:tblPr>
      <w:tblCellMar>
        <w:left w:w="0" w:type="dxa"/>
        <w:top w:w="0" w:type="dxa"/>
        <w:right w:w="0" w:type="dxa"/>
        <w:bottom w:w="0" w:type="dxa"/>
      </w:tblCellMar>
    </w:tblPr>
  </w:style>
  <w:style w:type="table" w:styleId="995" w:customStyle="1">
    <w:name w:val="Grid Table 5 Dark- Accent 4"/>
    <w:uiPriority w:val="99"/>
    <w:qFormat/>
    <w:rPr>
      <w:rFonts w:ascii="Calibri" w:hAnsi="Calibri"/>
    </w:rPr>
    <w:tblPr>
      <w:tblCellMar>
        <w:left w:w="0" w:type="dxa"/>
        <w:top w:w="0" w:type="dxa"/>
        <w:right w:w="0" w:type="dxa"/>
        <w:bottom w:w="0" w:type="dxa"/>
      </w:tblCellMar>
    </w:tblPr>
  </w:style>
  <w:style w:type="table" w:styleId="996" w:customStyle="1">
    <w:name w:val="Grid Table 5 Dark - Accent 5"/>
    <w:uiPriority w:val="99"/>
    <w:qFormat/>
    <w:rPr>
      <w:rFonts w:ascii="Calibri" w:hAnsi="Calibri"/>
    </w:rPr>
    <w:tblPr>
      <w:tblCellMar>
        <w:left w:w="0" w:type="dxa"/>
        <w:top w:w="0" w:type="dxa"/>
        <w:right w:w="0" w:type="dxa"/>
        <w:bottom w:w="0" w:type="dxa"/>
      </w:tblCellMar>
    </w:tblPr>
  </w:style>
  <w:style w:type="table" w:styleId="997" w:customStyle="1">
    <w:name w:val="Grid Table 5 Dark - Accent 6"/>
    <w:uiPriority w:val="99"/>
    <w:qFormat/>
    <w:rPr>
      <w:rFonts w:ascii="Calibri" w:hAnsi="Calibri"/>
    </w:rPr>
    <w:tblPr>
      <w:tblCellMar>
        <w:left w:w="0" w:type="dxa"/>
        <w:top w:w="0" w:type="dxa"/>
        <w:right w:w="0" w:type="dxa"/>
        <w:bottom w:w="0" w:type="dxa"/>
      </w:tblCellMar>
    </w:tblPr>
  </w:style>
  <w:style w:type="table" w:styleId="998" w:customStyle="1">
    <w:name w:val="Grid Table 6 Colorful"/>
    <w:uiPriority w:val="99"/>
    <w:qFormat/>
    <w:rPr>
      <w:rFonts w:ascii="Calibri" w:hAnsi="Calibri"/>
    </w:rPr>
    <w:tblPr>
      <w:tblCellMar>
        <w:left w:w="0" w:type="dxa"/>
        <w:top w:w="0" w:type="dxa"/>
        <w:right w:w="0" w:type="dxa"/>
        <w:bottom w:w="0" w:type="dxa"/>
      </w:tblCellMar>
    </w:tblPr>
  </w:style>
  <w:style w:type="table" w:styleId="999"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00"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01"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02"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03"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04"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05" w:customStyle="1">
    <w:name w:val="Grid Table 7 Colorful"/>
    <w:uiPriority w:val="99"/>
    <w:qFormat/>
    <w:rPr>
      <w:rFonts w:ascii="Calibri" w:hAnsi="Calibri"/>
    </w:rPr>
    <w:tblPr>
      <w:tblCellMar>
        <w:left w:w="0" w:type="dxa"/>
        <w:top w:w="0" w:type="dxa"/>
        <w:right w:w="0" w:type="dxa"/>
        <w:bottom w:w="0" w:type="dxa"/>
      </w:tblCellMar>
    </w:tblPr>
  </w:style>
  <w:style w:type="table" w:styleId="1006"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07"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08"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09"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10"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11"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12" w:customStyle="1">
    <w:name w:val="List Table 1 Light"/>
    <w:uiPriority w:val="99"/>
    <w:qFormat/>
    <w:rPr>
      <w:rFonts w:ascii="Calibri" w:hAnsi="Calibri"/>
    </w:rPr>
    <w:tblPr>
      <w:tblCellMar>
        <w:left w:w="0" w:type="dxa"/>
        <w:top w:w="0" w:type="dxa"/>
        <w:right w:w="0" w:type="dxa"/>
        <w:bottom w:w="0" w:type="dxa"/>
      </w:tblCellMar>
    </w:tblPr>
  </w:style>
  <w:style w:type="table" w:styleId="1013" w:customStyle="1">
    <w:name w:val="List Table 1 Light - Accent 1"/>
    <w:uiPriority w:val="99"/>
    <w:qFormat/>
    <w:rPr>
      <w:rFonts w:ascii="Calibri" w:hAnsi="Calibri"/>
    </w:rPr>
    <w:tblPr>
      <w:tblCellMar>
        <w:left w:w="0" w:type="dxa"/>
        <w:top w:w="0" w:type="dxa"/>
        <w:right w:w="0" w:type="dxa"/>
        <w:bottom w:w="0" w:type="dxa"/>
      </w:tblCellMar>
    </w:tblPr>
  </w:style>
  <w:style w:type="table" w:styleId="1014" w:customStyle="1">
    <w:name w:val="List Table 1 Light - Accent 2"/>
    <w:uiPriority w:val="99"/>
    <w:qFormat/>
    <w:rPr>
      <w:rFonts w:ascii="Calibri" w:hAnsi="Calibri"/>
    </w:rPr>
    <w:tblPr>
      <w:tblCellMar>
        <w:left w:w="0" w:type="dxa"/>
        <w:top w:w="0" w:type="dxa"/>
        <w:right w:w="0" w:type="dxa"/>
        <w:bottom w:w="0" w:type="dxa"/>
      </w:tblCellMar>
    </w:tblPr>
  </w:style>
  <w:style w:type="table" w:styleId="1015" w:customStyle="1">
    <w:name w:val="List Table 1 Light - Accent 3"/>
    <w:uiPriority w:val="99"/>
    <w:qFormat/>
    <w:rPr>
      <w:rFonts w:ascii="Calibri" w:hAnsi="Calibri"/>
    </w:rPr>
    <w:tblPr>
      <w:tblCellMar>
        <w:left w:w="0" w:type="dxa"/>
        <w:top w:w="0" w:type="dxa"/>
        <w:right w:w="0" w:type="dxa"/>
        <w:bottom w:w="0" w:type="dxa"/>
      </w:tblCellMar>
    </w:tblPr>
  </w:style>
  <w:style w:type="table" w:styleId="1016" w:customStyle="1">
    <w:name w:val="List Table 1 Light - Accent 4"/>
    <w:uiPriority w:val="99"/>
    <w:qFormat/>
    <w:rPr>
      <w:rFonts w:ascii="Calibri" w:hAnsi="Calibri"/>
    </w:rPr>
    <w:tblPr>
      <w:tblCellMar>
        <w:left w:w="0" w:type="dxa"/>
        <w:top w:w="0" w:type="dxa"/>
        <w:right w:w="0" w:type="dxa"/>
        <w:bottom w:w="0" w:type="dxa"/>
      </w:tblCellMar>
    </w:tblPr>
  </w:style>
  <w:style w:type="table" w:styleId="1017" w:customStyle="1">
    <w:name w:val="List Table 1 Light - Accent 5"/>
    <w:uiPriority w:val="99"/>
    <w:qFormat/>
    <w:rPr>
      <w:rFonts w:ascii="Calibri" w:hAnsi="Calibri"/>
    </w:rPr>
    <w:tblPr>
      <w:tblCellMar>
        <w:left w:w="0" w:type="dxa"/>
        <w:top w:w="0" w:type="dxa"/>
        <w:right w:w="0" w:type="dxa"/>
        <w:bottom w:w="0" w:type="dxa"/>
      </w:tblCellMar>
    </w:tblPr>
  </w:style>
  <w:style w:type="table" w:styleId="1018" w:customStyle="1">
    <w:name w:val="List Table 1 Light - Accent 6"/>
    <w:uiPriority w:val="99"/>
    <w:qFormat/>
    <w:rPr>
      <w:rFonts w:ascii="Calibri" w:hAnsi="Calibri"/>
    </w:rPr>
    <w:tblPr>
      <w:tblCellMar>
        <w:left w:w="0" w:type="dxa"/>
        <w:top w:w="0" w:type="dxa"/>
        <w:right w:w="0" w:type="dxa"/>
        <w:bottom w:w="0" w:type="dxa"/>
      </w:tblCellMar>
    </w:tblPr>
  </w:style>
  <w:style w:type="table" w:styleId="1019" w:customStyle="1">
    <w:name w:val="List Table 2"/>
    <w:uiPriority w:val="99"/>
    <w:qFormat/>
    <w:rPr>
      <w:rFonts w:ascii="Calibri" w:hAnsi="Calibri"/>
    </w:rPr>
    <w:tblPr>
      <w:tblCellMar>
        <w:left w:w="0" w:type="dxa"/>
        <w:top w:w="0" w:type="dxa"/>
        <w:right w:w="0" w:type="dxa"/>
        <w:bottom w:w="0" w:type="dxa"/>
      </w:tblCellMar>
    </w:tblPr>
  </w:style>
  <w:style w:type="table" w:styleId="1020" w:customStyle="1">
    <w:name w:val="List Table 2 - Accent 1"/>
    <w:uiPriority w:val="99"/>
    <w:qFormat/>
    <w:rPr>
      <w:rFonts w:ascii="Calibri" w:hAnsi="Calibri"/>
    </w:rPr>
    <w:tblPr>
      <w:tblCellMar>
        <w:left w:w="0" w:type="dxa"/>
        <w:top w:w="0" w:type="dxa"/>
        <w:right w:w="0" w:type="dxa"/>
        <w:bottom w:w="0" w:type="dxa"/>
      </w:tblCellMar>
    </w:tblPr>
  </w:style>
  <w:style w:type="table" w:styleId="1021" w:customStyle="1">
    <w:name w:val="List Table 2 - Accent 2"/>
    <w:uiPriority w:val="99"/>
    <w:qFormat/>
    <w:rPr>
      <w:rFonts w:ascii="Calibri" w:hAnsi="Calibri"/>
    </w:rPr>
    <w:tblPr>
      <w:tblCellMar>
        <w:left w:w="0" w:type="dxa"/>
        <w:top w:w="0" w:type="dxa"/>
        <w:right w:w="0" w:type="dxa"/>
        <w:bottom w:w="0" w:type="dxa"/>
      </w:tblCellMar>
    </w:tblPr>
  </w:style>
  <w:style w:type="table" w:styleId="1022" w:customStyle="1">
    <w:name w:val="List Table 2 - Accent 3"/>
    <w:uiPriority w:val="99"/>
    <w:qFormat/>
    <w:rPr>
      <w:rFonts w:ascii="Calibri" w:hAnsi="Calibri"/>
    </w:rPr>
    <w:tblPr>
      <w:tblCellMar>
        <w:left w:w="0" w:type="dxa"/>
        <w:top w:w="0" w:type="dxa"/>
        <w:right w:w="0" w:type="dxa"/>
        <w:bottom w:w="0" w:type="dxa"/>
      </w:tblCellMar>
    </w:tblPr>
  </w:style>
  <w:style w:type="table" w:styleId="1023" w:customStyle="1">
    <w:name w:val="List Table 2 - Accent 4"/>
    <w:uiPriority w:val="99"/>
    <w:qFormat/>
    <w:rPr>
      <w:rFonts w:ascii="Calibri" w:hAnsi="Calibri"/>
    </w:rPr>
    <w:tblPr>
      <w:tblCellMar>
        <w:left w:w="0" w:type="dxa"/>
        <w:top w:w="0" w:type="dxa"/>
        <w:right w:w="0" w:type="dxa"/>
        <w:bottom w:w="0" w:type="dxa"/>
      </w:tblCellMar>
    </w:tblPr>
  </w:style>
  <w:style w:type="table" w:styleId="1024" w:customStyle="1">
    <w:name w:val="List Table 2 - Accent 5"/>
    <w:uiPriority w:val="99"/>
    <w:qFormat/>
    <w:rPr>
      <w:rFonts w:ascii="Calibri" w:hAnsi="Calibri"/>
    </w:rPr>
    <w:tblPr>
      <w:tblCellMar>
        <w:left w:w="0" w:type="dxa"/>
        <w:top w:w="0" w:type="dxa"/>
        <w:right w:w="0" w:type="dxa"/>
        <w:bottom w:w="0" w:type="dxa"/>
      </w:tblCellMar>
    </w:tblPr>
  </w:style>
  <w:style w:type="table" w:styleId="1025" w:customStyle="1">
    <w:name w:val="List Table 2 - Accent 6"/>
    <w:uiPriority w:val="99"/>
    <w:qFormat/>
    <w:rPr>
      <w:rFonts w:ascii="Calibri" w:hAnsi="Calibri"/>
    </w:rPr>
    <w:tblPr>
      <w:tblCellMar>
        <w:left w:w="0" w:type="dxa"/>
        <w:top w:w="0" w:type="dxa"/>
        <w:right w:w="0" w:type="dxa"/>
        <w:bottom w:w="0" w:type="dxa"/>
      </w:tblCellMar>
    </w:tblPr>
  </w:style>
  <w:style w:type="table" w:styleId="1026" w:customStyle="1">
    <w:name w:val="List Table 3"/>
    <w:uiPriority w:val="99"/>
    <w:qFormat/>
    <w:rPr>
      <w:rFonts w:ascii="Calibri" w:hAnsi="Calibri"/>
    </w:rPr>
    <w:tblPr>
      <w:tblCellMar>
        <w:left w:w="0" w:type="dxa"/>
        <w:top w:w="0" w:type="dxa"/>
        <w:right w:w="0" w:type="dxa"/>
        <w:bottom w:w="0" w:type="dxa"/>
      </w:tblCellMar>
    </w:tblPr>
  </w:style>
  <w:style w:type="table" w:styleId="1027" w:customStyle="1">
    <w:name w:val="List Table 3 - Accent 1"/>
    <w:uiPriority w:val="99"/>
    <w:qFormat/>
    <w:rPr>
      <w:rFonts w:ascii="Calibri" w:hAnsi="Calibri"/>
    </w:rPr>
    <w:tblPr>
      <w:tblCellMar>
        <w:left w:w="0" w:type="dxa"/>
        <w:top w:w="0" w:type="dxa"/>
        <w:right w:w="0" w:type="dxa"/>
        <w:bottom w:w="0" w:type="dxa"/>
      </w:tblCellMar>
    </w:tblPr>
  </w:style>
  <w:style w:type="table" w:styleId="1028" w:customStyle="1">
    <w:name w:val="List Table 3 - Accent 2"/>
    <w:uiPriority w:val="99"/>
    <w:qFormat/>
    <w:rPr>
      <w:rFonts w:ascii="Calibri" w:hAnsi="Calibri"/>
    </w:rPr>
    <w:tblPr>
      <w:tblCellMar>
        <w:left w:w="0" w:type="dxa"/>
        <w:top w:w="0" w:type="dxa"/>
        <w:right w:w="0" w:type="dxa"/>
        <w:bottom w:w="0" w:type="dxa"/>
      </w:tblCellMar>
    </w:tblPr>
  </w:style>
  <w:style w:type="table" w:styleId="1029" w:customStyle="1">
    <w:name w:val="List Table 3 - Accent 3"/>
    <w:uiPriority w:val="99"/>
    <w:qFormat/>
    <w:rPr>
      <w:rFonts w:ascii="Calibri" w:hAnsi="Calibri"/>
    </w:rPr>
    <w:tblPr>
      <w:tblCellMar>
        <w:left w:w="0" w:type="dxa"/>
        <w:top w:w="0" w:type="dxa"/>
        <w:right w:w="0" w:type="dxa"/>
        <w:bottom w:w="0" w:type="dxa"/>
      </w:tblCellMar>
    </w:tblPr>
  </w:style>
  <w:style w:type="table" w:styleId="1030" w:customStyle="1">
    <w:name w:val="List Table 3 - Accent 4"/>
    <w:uiPriority w:val="99"/>
    <w:qFormat/>
    <w:rPr>
      <w:rFonts w:ascii="Calibri" w:hAnsi="Calibri"/>
    </w:rPr>
    <w:tblPr>
      <w:tblCellMar>
        <w:left w:w="0" w:type="dxa"/>
        <w:top w:w="0" w:type="dxa"/>
        <w:right w:w="0" w:type="dxa"/>
        <w:bottom w:w="0" w:type="dxa"/>
      </w:tblCellMar>
    </w:tblPr>
  </w:style>
  <w:style w:type="table" w:styleId="1031" w:customStyle="1">
    <w:name w:val="List Table 3 - Accent 5"/>
    <w:uiPriority w:val="99"/>
    <w:qFormat/>
    <w:rPr>
      <w:rFonts w:ascii="Calibri" w:hAnsi="Calibri"/>
    </w:rPr>
    <w:tblPr>
      <w:tblCellMar>
        <w:left w:w="0" w:type="dxa"/>
        <w:top w:w="0" w:type="dxa"/>
        <w:right w:w="0" w:type="dxa"/>
        <w:bottom w:w="0" w:type="dxa"/>
      </w:tblCellMar>
    </w:tblPr>
  </w:style>
  <w:style w:type="table" w:styleId="1032" w:customStyle="1">
    <w:name w:val="List Table 3 - Accent 6"/>
    <w:uiPriority w:val="99"/>
    <w:qFormat/>
    <w:rPr>
      <w:rFonts w:ascii="Calibri" w:hAnsi="Calibri"/>
    </w:rPr>
    <w:tblPr>
      <w:tblCellMar>
        <w:left w:w="0" w:type="dxa"/>
        <w:top w:w="0" w:type="dxa"/>
        <w:right w:w="0" w:type="dxa"/>
        <w:bottom w:w="0" w:type="dxa"/>
      </w:tblCellMar>
    </w:tblPr>
  </w:style>
  <w:style w:type="table" w:styleId="1033" w:customStyle="1">
    <w:name w:val="List Table 4"/>
    <w:uiPriority w:val="99"/>
    <w:qFormat/>
    <w:rPr>
      <w:rFonts w:ascii="Calibri" w:hAnsi="Calibri"/>
    </w:rPr>
    <w:tblPr>
      <w:tblCellMar>
        <w:left w:w="0" w:type="dxa"/>
        <w:top w:w="0" w:type="dxa"/>
        <w:right w:w="0" w:type="dxa"/>
        <w:bottom w:w="0" w:type="dxa"/>
      </w:tblCellMar>
    </w:tblPr>
  </w:style>
  <w:style w:type="table" w:styleId="1034" w:customStyle="1">
    <w:name w:val="List Table 4 - Accent 1"/>
    <w:uiPriority w:val="99"/>
    <w:qFormat/>
    <w:rPr>
      <w:rFonts w:ascii="Calibri" w:hAnsi="Calibri"/>
    </w:rPr>
    <w:tblPr>
      <w:tblCellMar>
        <w:left w:w="0" w:type="dxa"/>
        <w:top w:w="0" w:type="dxa"/>
        <w:right w:w="0" w:type="dxa"/>
        <w:bottom w:w="0" w:type="dxa"/>
      </w:tblCellMar>
    </w:tblPr>
  </w:style>
  <w:style w:type="table" w:styleId="1035" w:customStyle="1">
    <w:name w:val="List Table 4 - Accent 2"/>
    <w:uiPriority w:val="99"/>
    <w:qFormat/>
    <w:rPr>
      <w:rFonts w:ascii="Calibri" w:hAnsi="Calibri"/>
    </w:rPr>
    <w:tblPr>
      <w:tblCellMar>
        <w:left w:w="0" w:type="dxa"/>
        <w:top w:w="0" w:type="dxa"/>
        <w:right w:w="0" w:type="dxa"/>
        <w:bottom w:w="0" w:type="dxa"/>
      </w:tblCellMar>
    </w:tblPr>
  </w:style>
  <w:style w:type="table" w:styleId="1036" w:customStyle="1">
    <w:name w:val="List Table 4 - Accent 3"/>
    <w:uiPriority w:val="99"/>
    <w:qFormat/>
    <w:rPr>
      <w:rFonts w:ascii="Calibri" w:hAnsi="Calibri"/>
    </w:rPr>
    <w:tblPr>
      <w:tblCellMar>
        <w:left w:w="0" w:type="dxa"/>
        <w:top w:w="0" w:type="dxa"/>
        <w:right w:w="0" w:type="dxa"/>
        <w:bottom w:w="0" w:type="dxa"/>
      </w:tblCellMar>
    </w:tblPr>
  </w:style>
  <w:style w:type="table" w:styleId="1037" w:customStyle="1">
    <w:name w:val="List Table 4 - Accent 4"/>
    <w:uiPriority w:val="99"/>
    <w:qFormat/>
    <w:rPr>
      <w:rFonts w:ascii="Calibri" w:hAnsi="Calibri"/>
    </w:rPr>
    <w:tblPr>
      <w:tblCellMar>
        <w:left w:w="0" w:type="dxa"/>
        <w:top w:w="0" w:type="dxa"/>
        <w:right w:w="0" w:type="dxa"/>
        <w:bottom w:w="0" w:type="dxa"/>
      </w:tblCellMar>
    </w:tblPr>
  </w:style>
  <w:style w:type="table" w:styleId="1038" w:customStyle="1">
    <w:name w:val="List Table 4 - Accent 5"/>
    <w:uiPriority w:val="99"/>
    <w:qFormat/>
    <w:rPr>
      <w:rFonts w:ascii="Calibri" w:hAnsi="Calibri"/>
    </w:rPr>
    <w:tblPr>
      <w:tblCellMar>
        <w:left w:w="0" w:type="dxa"/>
        <w:top w:w="0" w:type="dxa"/>
        <w:right w:w="0" w:type="dxa"/>
        <w:bottom w:w="0" w:type="dxa"/>
      </w:tblCellMar>
    </w:tblPr>
  </w:style>
  <w:style w:type="table" w:styleId="1039" w:customStyle="1">
    <w:name w:val="List Table 4 - Accent 6"/>
    <w:uiPriority w:val="99"/>
    <w:qFormat/>
    <w:rPr>
      <w:rFonts w:ascii="Calibri" w:hAnsi="Calibri"/>
    </w:rPr>
    <w:tblPr>
      <w:tblCellMar>
        <w:left w:w="0" w:type="dxa"/>
        <w:top w:w="0" w:type="dxa"/>
        <w:right w:w="0" w:type="dxa"/>
        <w:bottom w:w="0" w:type="dxa"/>
      </w:tblCellMar>
    </w:tblPr>
  </w:style>
  <w:style w:type="table" w:styleId="1040" w:customStyle="1">
    <w:name w:val="List Table 5 Dark"/>
    <w:uiPriority w:val="99"/>
    <w:qFormat/>
    <w:rPr>
      <w:rFonts w:ascii="Calibri" w:hAnsi="Calibri"/>
    </w:rPr>
    <w:tblPr>
      <w:tblCellMar>
        <w:left w:w="0" w:type="dxa"/>
        <w:top w:w="0" w:type="dxa"/>
        <w:right w:w="0" w:type="dxa"/>
        <w:bottom w:w="0" w:type="dxa"/>
      </w:tblCellMar>
    </w:tblPr>
  </w:style>
  <w:style w:type="table" w:styleId="1041" w:customStyle="1">
    <w:name w:val="List Table 5 Dark - Accent 1"/>
    <w:uiPriority w:val="99"/>
    <w:qFormat/>
    <w:rPr>
      <w:rFonts w:ascii="Calibri" w:hAnsi="Calibri"/>
    </w:rPr>
    <w:tblPr>
      <w:tblCellMar>
        <w:left w:w="0" w:type="dxa"/>
        <w:top w:w="0" w:type="dxa"/>
        <w:right w:w="0" w:type="dxa"/>
        <w:bottom w:w="0" w:type="dxa"/>
      </w:tblCellMar>
    </w:tblPr>
  </w:style>
  <w:style w:type="table" w:styleId="1042" w:customStyle="1">
    <w:name w:val="List Table 5 Dark - Accent 2"/>
    <w:uiPriority w:val="99"/>
    <w:qFormat/>
    <w:rPr>
      <w:rFonts w:ascii="Calibri" w:hAnsi="Calibri"/>
    </w:rPr>
    <w:tblPr>
      <w:tblCellMar>
        <w:left w:w="0" w:type="dxa"/>
        <w:top w:w="0" w:type="dxa"/>
        <w:right w:w="0" w:type="dxa"/>
        <w:bottom w:w="0" w:type="dxa"/>
      </w:tblCellMar>
    </w:tblPr>
  </w:style>
  <w:style w:type="table" w:styleId="1043" w:customStyle="1">
    <w:name w:val="List Table 5 Dark - Accent 3"/>
    <w:uiPriority w:val="99"/>
    <w:qFormat/>
    <w:rPr>
      <w:rFonts w:ascii="Calibri" w:hAnsi="Calibri"/>
    </w:rPr>
    <w:tblPr>
      <w:tblCellMar>
        <w:left w:w="0" w:type="dxa"/>
        <w:top w:w="0" w:type="dxa"/>
        <w:right w:w="0" w:type="dxa"/>
        <w:bottom w:w="0" w:type="dxa"/>
      </w:tblCellMar>
    </w:tblPr>
  </w:style>
  <w:style w:type="table" w:styleId="1044" w:customStyle="1">
    <w:name w:val="List Table 5 Dark - Accent 4"/>
    <w:uiPriority w:val="99"/>
    <w:qFormat/>
    <w:rPr>
      <w:rFonts w:ascii="Calibri" w:hAnsi="Calibri"/>
    </w:rPr>
    <w:tblPr>
      <w:tblCellMar>
        <w:left w:w="0" w:type="dxa"/>
        <w:top w:w="0" w:type="dxa"/>
        <w:right w:w="0" w:type="dxa"/>
        <w:bottom w:w="0" w:type="dxa"/>
      </w:tblCellMar>
    </w:tblPr>
  </w:style>
  <w:style w:type="table" w:styleId="1045" w:customStyle="1">
    <w:name w:val="List Table 5 Dark - Accent 5"/>
    <w:uiPriority w:val="99"/>
    <w:qFormat/>
    <w:rPr>
      <w:rFonts w:ascii="Calibri" w:hAnsi="Calibri"/>
    </w:rPr>
    <w:tblPr>
      <w:tblCellMar>
        <w:left w:w="0" w:type="dxa"/>
        <w:top w:w="0" w:type="dxa"/>
        <w:right w:w="0" w:type="dxa"/>
        <w:bottom w:w="0" w:type="dxa"/>
      </w:tblCellMar>
    </w:tblPr>
  </w:style>
  <w:style w:type="table" w:styleId="1046" w:customStyle="1">
    <w:name w:val="List Table 5 Dark - Accent 6"/>
    <w:uiPriority w:val="99"/>
    <w:qFormat/>
    <w:rPr>
      <w:rFonts w:ascii="Calibri" w:hAnsi="Calibri"/>
    </w:rPr>
    <w:tblPr>
      <w:tblCellMar>
        <w:left w:w="0" w:type="dxa"/>
        <w:top w:w="0" w:type="dxa"/>
        <w:right w:w="0" w:type="dxa"/>
        <w:bottom w:w="0" w:type="dxa"/>
      </w:tblCellMar>
    </w:tblPr>
  </w:style>
  <w:style w:type="table" w:styleId="1047" w:customStyle="1">
    <w:name w:val="List Table 6 Colorful"/>
    <w:uiPriority w:val="99"/>
    <w:qFormat/>
    <w:rPr>
      <w:rFonts w:ascii="Calibri" w:hAnsi="Calibri"/>
    </w:rPr>
    <w:tblPr>
      <w:tblCellMar>
        <w:left w:w="0" w:type="dxa"/>
        <w:top w:w="0" w:type="dxa"/>
        <w:right w:w="0" w:type="dxa"/>
        <w:bottom w:w="0" w:type="dxa"/>
      </w:tblCellMar>
    </w:tblPr>
  </w:style>
  <w:style w:type="table" w:styleId="1048"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49"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50"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51"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52"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53"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54" w:customStyle="1">
    <w:name w:val="List Table 7 Colorful"/>
    <w:uiPriority w:val="99"/>
    <w:qFormat/>
    <w:rPr>
      <w:rFonts w:ascii="Calibri" w:hAnsi="Calibri"/>
    </w:rPr>
    <w:tblPr>
      <w:tblCellMar>
        <w:left w:w="0" w:type="dxa"/>
        <w:top w:w="0" w:type="dxa"/>
        <w:right w:w="0" w:type="dxa"/>
        <w:bottom w:w="0" w:type="dxa"/>
      </w:tblCellMar>
    </w:tblPr>
  </w:style>
  <w:style w:type="table" w:styleId="1055"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56"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57"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58"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59"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60"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61"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62"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63"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64"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65"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66"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67"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68"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69"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70"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71"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72"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73"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74"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75" w:customStyle="1">
    <w:name w:val="Bordered"/>
    <w:uiPriority w:val="99"/>
    <w:qFormat/>
    <w:rPr>
      <w:rFonts w:ascii="Calibri" w:hAnsi="Calibri"/>
    </w:rPr>
    <w:tblPr>
      <w:tblCellMar>
        <w:left w:w="0" w:type="dxa"/>
        <w:top w:w="0" w:type="dxa"/>
        <w:right w:w="0" w:type="dxa"/>
        <w:bottom w:w="0" w:type="dxa"/>
      </w:tblCellMar>
    </w:tblPr>
  </w:style>
  <w:style w:type="table" w:styleId="1076" w:customStyle="1">
    <w:name w:val="Bordered - Accent 1"/>
    <w:uiPriority w:val="99"/>
    <w:qFormat/>
    <w:rPr>
      <w:rFonts w:ascii="Calibri" w:hAnsi="Calibri"/>
    </w:rPr>
    <w:tblPr>
      <w:tblCellMar>
        <w:left w:w="0" w:type="dxa"/>
        <w:top w:w="0" w:type="dxa"/>
        <w:right w:w="0" w:type="dxa"/>
        <w:bottom w:w="0" w:type="dxa"/>
      </w:tblCellMar>
    </w:tblPr>
  </w:style>
  <w:style w:type="table" w:styleId="1077" w:customStyle="1">
    <w:name w:val="Bordered - Accent 2"/>
    <w:uiPriority w:val="99"/>
    <w:qFormat/>
    <w:rPr>
      <w:rFonts w:ascii="Calibri" w:hAnsi="Calibri"/>
    </w:rPr>
    <w:tblPr>
      <w:tblCellMar>
        <w:left w:w="0" w:type="dxa"/>
        <w:top w:w="0" w:type="dxa"/>
        <w:right w:w="0" w:type="dxa"/>
        <w:bottom w:w="0" w:type="dxa"/>
      </w:tblCellMar>
    </w:tblPr>
  </w:style>
  <w:style w:type="table" w:styleId="1078" w:customStyle="1">
    <w:name w:val="Bordered - Accent 3"/>
    <w:uiPriority w:val="99"/>
    <w:qFormat/>
    <w:rPr>
      <w:rFonts w:ascii="Calibri" w:hAnsi="Calibri"/>
    </w:rPr>
    <w:tblPr>
      <w:tblCellMar>
        <w:left w:w="0" w:type="dxa"/>
        <w:top w:w="0" w:type="dxa"/>
        <w:right w:w="0" w:type="dxa"/>
        <w:bottom w:w="0" w:type="dxa"/>
      </w:tblCellMar>
    </w:tblPr>
  </w:style>
  <w:style w:type="table" w:styleId="1079" w:customStyle="1">
    <w:name w:val="Bordered - Accent 4"/>
    <w:uiPriority w:val="99"/>
    <w:qFormat/>
    <w:rPr>
      <w:rFonts w:ascii="Calibri" w:hAnsi="Calibri"/>
    </w:rPr>
    <w:tblPr>
      <w:tblCellMar>
        <w:left w:w="0" w:type="dxa"/>
        <w:top w:w="0" w:type="dxa"/>
        <w:right w:w="0" w:type="dxa"/>
        <w:bottom w:w="0" w:type="dxa"/>
      </w:tblCellMar>
    </w:tblPr>
  </w:style>
  <w:style w:type="table" w:styleId="1080" w:customStyle="1">
    <w:name w:val="Bordered - Accent 5"/>
    <w:uiPriority w:val="99"/>
    <w:qFormat/>
    <w:rPr>
      <w:rFonts w:ascii="Calibri" w:hAnsi="Calibri"/>
    </w:rPr>
    <w:tblPr>
      <w:tblCellMar>
        <w:left w:w="0" w:type="dxa"/>
        <w:top w:w="0" w:type="dxa"/>
        <w:right w:w="0" w:type="dxa"/>
        <w:bottom w:w="0" w:type="dxa"/>
      </w:tblCellMar>
    </w:tblPr>
  </w:style>
  <w:style w:type="table" w:styleId="1081" w:customStyle="1">
    <w:name w:val="Bordered - Accent 6"/>
    <w:uiPriority w:val="99"/>
    <w:qFormat/>
    <w:rPr>
      <w:rFonts w:ascii="Calibri" w:hAnsi="Calibri"/>
    </w:rPr>
    <w:tblPr>
      <w:tblCellMar>
        <w:left w:w="0" w:type="dxa"/>
        <w:top w:w="0" w:type="dxa"/>
        <w:right w:w="0" w:type="dxa"/>
        <w:bottom w:w="0" w:type="dxa"/>
      </w:tblCellMar>
    </w:tblPr>
  </w:style>
  <w:style w:type="paragraph" w:styleId="1082" w:customStyle="1">
    <w:name w:val="TOC 标题11"/>
    <w:uiPriority w:val="39"/>
    <w:unhideWhenUsed/>
    <w:qFormat/>
    <w:rPr>
      <w:rFonts w:ascii="Calibri" w:hAnsi="Calibri" w:eastAsia="宋体" w:cs="Times New Roman"/>
      <w:lang w:val="en-US" w:eastAsia="zh-CN" w:bidi="ar-SA"/>
    </w:rPr>
  </w:style>
  <w:style w:type="paragraph" w:styleId="1083" w:customStyle="1">
    <w:name w:val="标题 11"/>
    <w:basedOn w:val="724"/>
    <w:next w:val="724"/>
    <w:link w:val="1084"/>
    <w:uiPriority w:val="0"/>
    <w:qFormat/>
    <w:pPr>
      <w:jc w:val="center"/>
      <w:keepNext/>
      <w:outlineLvl w:val="0"/>
    </w:pPr>
    <w:rPr>
      <w:rFonts w:ascii="楷体_GB2312" w:hAnsi="Times New Roman" w:eastAsia="楷体_GB2312"/>
      <w:sz w:val="28"/>
      <w:szCs w:val="28"/>
      <w:lang w:eastAsia="en-US"/>
    </w:rPr>
  </w:style>
  <w:style w:type="character" w:styleId="1084" w:customStyle="1">
    <w:name w:val="标题 1 Char"/>
    <w:link w:val="1083"/>
    <w:uiPriority w:val="0"/>
    <w:qFormat/>
    <w:rPr>
      <w:rFonts w:ascii="楷体_GB2312" w:hAnsi="Times New Roman" w:eastAsia="楷体_GB2312" w:cs="Times New Roman"/>
      <w:sz w:val="28"/>
      <w:szCs w:val="28"/>
      <w:lang w:eastAsia="en-US"/>
    </w:rPr>
  </w:style>
  <w:style w:type="paragraph" w:styleId="1085" w:customStyle="1">
    <w:name w:val="标题 21"/>
    <w:basedOn w:val="724"/>
    <w:next w:val="1086"/>
    <w:link w:val="108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86" w:customStyle="1">
    <w:name w:val="正文缩进1"/>
    <w:basedOn w:val="724"/>
    <w:link w:val="1088"/>
    <w:uiPriority w:val="0"/>
    <w:qFormat/>
    <w:pPr>
      <w:ind w:firstLine="420"/>
    </w:pPr>
    <w:rPr>
      <w:rFonts w:ascii="Times New Roman" w:hAnsi="Times New Roman" w:eastAsia="宋体"/>
      <w:sz w:val="20"/>
      <w:szCs w:val="21"/>
      <w:lang w:eastAsia="en-US"/>
    </w:rPr>
  </w:style>
  <w:style w:type="character" w:styleId="1087" w:customStyle="1">
    <w:name w:val="标题 2 Char"/>
    <w:link w:val="1085"/>
    <w:uiPriority w:val="0"/>
    <w:qFormat/>
    <w:rPr>
      <w:rFonts w:ascii="Arial" w:hAnsi="Arial" w:eastAsia="幼圆" w:cs="Times New Roman"/>
      <w:b/>
      <w:bCs/>
      <w:sz w:val="44"/>
      <w:szCs w:val="44"/>
      <w:lang w:eastAsia="en-US"/>
    </w:rPr>
  </w:style>
  <w:style w:type="character" w:styleId="1088" w:customStyle="1">
    <w:name w:val="正文缩进 Char"/>
    <w:link w:val="1086"/>
    <w:uiPriority w:val="0"/>
    <w:qFormat/>
    <w:rPr>
      <w:rFonts w:ascii="Times New Roman" w:hAnsi="Times New Roman" w:eastAsia="宋体" w:cs="Times New Roman"/>
      <w:szCs w:val="21"/>
      <w:lang w:eastAsia="en-US"/>
    </w:rPr>
  </w:style>
  <w:style w:type="paragraph" w:styleId="1089" w:customStyle="1">
    <w:name w:val="标题 41"/>
    <w:basedOn w:val="724"/>
    <w:next w:val="1086"/>
    <w:link w:val="1090"/>
    <w:uiPriority w:val="0"/>
    <w:qFormat/>
    <w:pPr>
      <w:keepLines/>
      <w:keepNext/>
      <w:spacing w:before="280" w:after="290" w:line="376" w:lineRule="auto"/>
      <w:outlineLvl w:val="3"/>
    </w:pPr>
    <w:rPr>
      <w:rFonts w:ascii="Arial" w:hAnsi="Arial" w:eastAsia="黑体"/>
      <w:b/>
      <w:bCs/>
      <w:sz w:val="28"/>
      <w:szCs w:val="28"/>
      <w:lang w:eastAsia="en-US"/>
    </w:rPr>
  </w:style>
  <w:style w:type="character" w:styleId="1090" w:customStyle="1">
    <w:name w:val="标题 4 Char"/>
    <w:link w:val="1089"/>
    <w:uiPriority w:val="0"/>
    <w:qFormat/>
    <w:rPr>
      <w:rFonts w:ascii="Arial" w:hAnsi="Arial" w:eastAsia="黑体" w:cs="Times New Roman"/>
      <w:b/>
      <w:bCs/>
      <w:sz w:val="28"/>
      <w:szCs w:val="28"/>
      <w:lang w:eastAsia="en-US"/>
    </w:rPr>
  </w:style>
  <w:style w:type="paragraph" w:styleId="1091" w:customStyle="1">
    <w:name w:val="标题 51"/>
    <w:basedOn w:val="724"/>
    <w:next w:val="1086"/>
    <w:link w:val="1092"/>
    <w:uiPriority w:val="0"/>
    <w:qFormat/>
    <w:pPr>
      <w:keepNext/>
      <w:outlineLvl w:val="4"/>
    </w:pPr>
    <w:rPr>
      <w:rFonts w:ascii="宋体" w:hAnsi="Times New Roman" w:eastAsia="宋体"/>
      <w:color w:val="000000"/>
      <w:sz w:val="28"/>
      <w:szCs w:val="28"/>
      <w:lang w:eastAsia="en-US"/>
    </w:rPr>
  </w:style>
  <w:style w:type="character" w:styleId="1092" w:customStyle="1">
    <w:name w:val="标题 5 Char"/>
    <w:link w:val="1091"/>
    <w:uiPriority w:val="0"/>
    <w:qFormat/>
    <w:rPr>
      <w:rFonts w:ascii="宋体" w:hAnsi="Times New Roman" w:eastAsia="宋体" w:cs="Times New Roman"/>
      <w:color w:val="000000"/>
      <w:sz w:val="28"/>
      <w:szCs w:val="28"/>
      <w:lang w:eastAsia="en-US"/>
    </w:rPr>
  </w:style>
  <w:style w:type="paragraph" w:styleId="1093" w:customStyle="1">
    <w:name w:val="标题 61"/>
    <w:basedOn w:val="724"/>
    <w:next w:val="724"/>
    <w:link w:val="1094"/>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94" w:customStyle="1">
    <w:name w:val="标题 6 Char"/>
    <w:link w:val="1093"/>
    <w:uiPriority w:val="0"/>
    <w:qFormat/>
    <w:rPr>
      <w:rFonts w:ascii="Arial" w:hAnsi="Arial" w:eastAsia="黑体" w:cs="Times New Roman"/>
      <w:b/>
      <w:bCs/>
      <w:sz w:val="24"/>
      <w:szCs w:val="24"/>
      <w:lang w:eastAsia="en-US"/>
    </w:rPr>
  </w:style>
  <w:style w:type="paragraph" w:styleId="1095" w:customStyle="1">
    <w:name w:val="标题 71"/>
    <w:basedOn w:val="724"/>
    <w:next w:val="724"/>
    <w:link w:val="1096"/>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96" w:customStyle="1">
    <w:name w:val="标题 7 Char"/>
    <w:link w:val="1095"/>
    <w:uiPriority w:val="0"/>
    <w:qFormat/>
    <w:rPr>
      <w:rFonts w:ascii="Times New Roman" w:hAnsi="Times New Roman" w:eastAsia="宋体" w:cs="Times New Roman"/>
      <w:b/>
      <w:bCs/>
      <w:sz w:val="24"/>
      <w:szCs w:val="24"/>
      <w:lang w:eastAsia="en-US"/>
    </w:rPr>
  </w:style>
  <w:style w:type="paragraph" w:styleId="1097" w:customStyle="1">
    <w:name w:val="标题 81"/>
    <w:basedOn w:val="724"/>
    <w:next w:val="724"/>
    <w:link w:val="1098"/>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98" w:customStyle="1">
    <w:name w:val="标题 8 Char"/>
    <w:link w:val="1097"/>
    <w:uiPriority w:val="0"/>
    <w:qFormat/>
    <w:rPr>
      <w:rFonts w:ascii="Arial" w:hAnsi="Arial" w:eastAsia="黑体" w:cs="Times New Roman"/>
      <w:sz w:val="24"/>
      <w:szCs w:val="24"/>
      <w:lang w:eastAsia="en-US"/>
    </w:rPr>
  </w:style>
  <w:style w:type="paragraph" w:styleId="1099" w:customStyle="1">
    <w:name w:val="标题 91"/>
    <w:basedOn w:val="724"/>
    <w:next w:val="724"/>
    <w:link w:val="1100"/>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00" w:customStyle="1">
    <w:name w:val="标题 9 Char"/>
    <w:link w:val="1099"/>
    <w:uiPriority w:val="0"/>
    <w:qFormat/>
    <w:rPr>
      <w:rFonts w:ascii="Arial" w:hAnsi="Arial" w:eastAsia="黑体" w:cs="Times New Roman"/>
      <w:szCs w:val="21"/>
      <w:lang w:eastAsia="en-US"/>
    </w:rPr>
  </w:style>
  <w:style w:type="character" w:styleId="1101" w:customStyle="1">
    <w:name w:val="默认段落字体1"/>
    <w:uiPriority w:val="1"/>
    <w:unhideWhenUsed/>
    <w:qFormat/>
  </w:style>
  <w:style w:type="table" w:styleId="1102"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03" w:customStyle="1">
    <w:name w:val="列表 31"/>
    <w:basedOn w:val="724"/>
    <w:uiPriority w:val="0"/>
    <w:qFormat/>
    <w:pPr>
      <w:ind w:left="100" w:hanging="200"/>
    </w:pPr>
    <w:rPr>
      <w:rFonts w:ascii="Times New Roman" w:hAnsi="Times New Roman" w:eastAsia="宋体"/>
      <w:szCs w:val="21"/>
    </w:rPr>
  </w:style>
  <w:style w:type="paragraph" w:styleId="1104" w:customStyle="1">
    <w:name w:val="目录 711"/>
    <w:basedOn w:val="724"/>
    <w:next w:val="724"/>
    <w:uiPriority w:val="0"/>
    <w:semiHidden/>
    <w:qFormat/>
    <w:pPr>
      <w:ind w:left="1260"/>
      <w:jc w:val="left"/>
    </w:pPr>
    <w:rPr>
      <w:rFonts w:ascii="Times New Roman" w:hAnsi="Times New Roman" w:eastAsia="宋体"/>
      <w:szCs w:val="21"/>
    </w:rPr>
  </w:style>
  <w:style w:type="paragraph" w:styleId="1105" w:customStyle="1">
    <w:name w:val="文档结构图1"/>
    <w:basedOn w:val="724"/>
    <w:link w:val="1106"/>
    <w:uiPriority w:val="0"/>
    <w:semiHidden/>
    <w:qFormat/>
    <w:pPr>
      <w:shd w:val="clear" w:color="auto" w:fill="000080"/>
    </w:pPr>
    <w:rPr>
      <w:rFonts w:ascii="Times New Roman" w:hAnsi="Times New Roman" w:eastAsia="宋体"/>
      <w:sz w:val="20"/>
      <w:szCs w:val="21"/>
      <w:lang w:eastAsia="en-US"/>
    </w:rPr>
  </w:style>
  <w:style w:type="character" w:styleId="1106" w:customStyle="1">
    <w:name w:val="文档结构图 Char"/>
    <w:link w:val="1105"/>
    <w:uiPriority w:val="0"/>
    <w:semiHidden/>
    <w:qFormat/>
    <w:rPr>
      <w:rFonts w:ascii="Times New Roman" w:hAnsi="Times New Roman" w:eastAsia="宋体" w:cs="Times New Roman"/>
      <w:szCs w:val="21"/>
      <w:shd w:val="clear" w:color="auto" w:fill="000080"/>
      <w:lang w:eastAsia="en-US"/>
    </w:rPr>
  </w:style>
  <w:style w:type="paragraph" w:styleId="1107" w:customStyle="1">
    <w:name w:val="批注文字1"/>
    <w:basedOn w:val="724"/>
    <w:link w:val="1108"/>
    <w:uiPriority w:val="0"/>
    <w:semiHidden/>
    <w:qFormat/>
    <w:pPr>
      <w:jc w:val="left"/>
    </w:pPr>
    <w:rPr>
      <w:rFonts w:ascii="Times New Roman" w:hAnsi="Times New Roman" w:eastAsia="宋体"/>
      <w:sz w:val="20"/>
      <w:szCs w:val="21"/>
      <w:lang w:eastAsia="en-US"/>
    </w:rPr>
  </w:style>
  <w:style w:type="character" w:styleId="1108" w:customStyle="1">
    <w:name w:val="批注文字 Char"/>
    <w:link w:val="1107"/>
    <w:uiPriority w:val="0"/>
    <w:semiHidden/>
    <w:qFormat/>
    <w:rPr>
      <w:rFonts w:ascii="Times New Roman" w:hAnsi="Times New Roman" w:eastAsia="宋体" w:cs="Times New Roman"/>
      <w:szCs w:val="21"/>
      <w:lang w:eastAsia="en-US"/>
    </w:rPr>
  </w:style>
  <w:style w:type="paragraph" w:styleId="1109" w:customStyle="1">
    <w:name w:val="正文文本 31"/>
    <w:basedOn w:val="724"/>
    <w:link w:val="1110"/>
    <w:uiPriority w:val="0"/>
    <w:qFormat/>
    <w:rPr>
      <w:rFonts w:ascii="仿宋_GB2312" w:hAnsi="Arial" w:eastAsia="仿宋_GB2312"/>
      <w:sz w:val="32"/>
      <w:szCs w:val="32"/>
      <w:lang w:eastAsia="en-US"/>
    </w:rPr>
  </w:style>
  <w:style w:type="character" w:styleId="1110" w:customStyle="1">
    <w:name w:val="正文文本 3 Char"/>
    <w:link w:val="1109"/>
    <w:uiPriority w:val="0"/>
    <w:qFormat/>
    <w:rPr>
      <w:rFonts w:ascii="仿宋_GB2312" w:hAnsi="Arial" w:eastAsia="仿宋_GB2312" w:cs="Times New Roman"/>
      <w:sz w:val="32"/>
      <w:szCs w:val="32"/>
      <w:lang w:eastAsia="en-US"/>
    </w:rPr>
  </w:style>
  <w:style w:type="paragraph" w:styleId="1111" w:customStyle="1">
    <w:name w:val="正文文本1"/>
    <w:basedOn w:val="724"/>
    <w:link w:val="1112"/>
    <w:uiPriority w:val="0"/>
    <w:qFormat/>
    <w:rPr>
      <w:rFonts w:ascii="楷体_GB2312" w:hAnsi="Arial" w:eastAsia="楷体_GB2312"/>
      <w:sz w:val="28"/>
      <w:szCs w:val="28"/>
      <w:lang w:eastAsia="en-US"/>
    </w:rPr>
  </w:style>
  <w:style w:type="character" w:styleId="1112" w:customStyle="1">
    <w:name w:val="正文文本 Char"/>
    <w:link w:val="1111"/>
    <w:uiPriority w:val="0"/>
    <w:qFormat/>
    <w:rPr>
      <w:rFonts w:ascii="楷体_GB2312" w:hAnsi="Arial" w:eastAsia="楷体_GB2312" w:cs="Times New Roman"/>
      <w:sz w:val="28"/>
      <w:szCs w:val="28"/>
      <w:lang w:eastAsia="en-US"/>
    </w:rPr>
  </w:style>
  <w:style w:type="paragraph" w:styleId="1113" w:customStyle="1">
    <w:name w:val="正文文本缩进1"/>
    <w:basedOn w:val="724"/>
    <w:next w:val="1114"/>
    <w:link w:val="1115"/>
    <w:uiPriority w:val="0"/>
    <w:qFormat/>
    <w:pPr>
      <w:ind w:firstLine="645"/>
    </w:pPr>
    <w:rPr>
      <w:rFonts w:ascii="楷体_GB2312" w:hAnsi="Times New Roman" w:eastAsia="楷体_GB2312"/>
      <w:sz w:val="32"/>
      <w:szCs w:val="32"/>
      <w:lang w:eastAsia="en-US"/>
    </w:rPr>
  </w:style>
  <w:style w:type="paragraph" w:styleId="1114" w:customStyle="1">
    <w:name w:val="寄信人地址1"/>
    <w:basedOn w:val="724"/>
    <w:uiPriority w:val="99"/>
    <w:unhideWhenUsed/>
    <w:qFormat/>
    <w:rPr>
      <w:rFonts w:ascii="Arial" w:hAnsi="Arial"/>
    </w:rPr>
  </w:style>
  <w:style w:type="character" w:styleId="1115" w:customStyle="1">
    <w:name w:val="正文文本缩进 Char"/>
    <w:link w:val="1113"/>
    <w:uiPriority w:val="0"/>
    <w:qFormat/>
    <w:rPr>
      <w:rFonts w:ascii="楷体_GB2312" w:hAnsi="Times New Roman" w:eastAsia="楷体_GB2312" w:cs="Times New Roman"/>
      <w:sz w:val="32"/>
      <w:szCs w:val="32"/>
      <w:lang w:eastAsia="en-US"/>
    </w:rPr>
  </w:style>
  <w:style w:type="paragraph" w:styleId="1116" w:customStyle="1">
    <w:name w:val="列表 21"/>
    <w:basedOn w:val="724"/>
    <w:uiPriority w:val="0"/>
    <w:qFormat/>
    <w:pPr>
      <w:ind w:left="100" w:hanging="200"/>
    </w:pPr>
    <w:rPr>
      <w:rFonts w:ascii="Times New Roman" w:hAnsi="Times New Roman" w:eastAsia="宋体"/>
      <w:szCs w:val="21"/>
    </w:rPr>
  </w:style>
  <w:style w:type="paragraph" w:styleId="1117" w:customStyle="1">
    <w:name w:val="目录 511"/>
    <w:basedOn w:val="724"/>
    <w:next w:val="724"/>
    <w:uiPriority w:val="0"/>
    <w:semiHidden/>
    <w:qFormat/>
    <w:pPr>
      <w:ind w:left="840"/>
      <w:jc w:val="left"/>
    </w:pPr>
    <w:rPr>
      <w:rFonts w:ascii="Times New Roman" w:hAnsi="Times New Roman" w:eastAsia="宋体"/>
      <w:szCs w:val="21"/>
    </w:rPr>
  </w:style>
  <w:style w:type="paragraph" w:styleId="1118" w:customStyle="1">
    <w:name w:val="目录 311"/>
    <w:basedOn w:val="724"/>
    <w:next w:val="724"/>
    <w:uiPriority w:val="0"/>
    <w:semiHidden/>
    <w:qFormat/>
    <w:pPr>
      <w:ind w:left="420"/>
      <w:jc w:val="left"/>
    </w:pPr>
    <w:rPr>
      <w:rFonts w:ascii="Times New Roman" w:hAnsi="Times New Roman" w:eastAsia="宋体"/>
      <w:i/>
      <w:iCs/>
      <w:szCs w:val="24"/>
    </w:rPr>
  </w:style>
  <w:style w:type="paragraph" w:styleId="1119" w:customStyle="1">
    <w:name w:val="纯文本1"/>
    <w:basedOn w:val="724"/>
    <w:link w:val="1120"/>
    <w:uiPriority w:val="0"/>
    <w:qFormat/>
    <w:rPr>
      <w:rFonts w:ascii="宋体" w:hAnsi="Courier New" w:eastAsia="宋体"/>
      <w:sz w:val="20"/>
      <w:szCs w:val="21"/>
      <w:lang w:eastAsia="en-US"/>
    </w:rPr>
  </w:style>
  <w:style w:type="character" w:styleId="1120" w:customStyle="1">
    <w:name w:val="纯文本 Char"/>
    <w:link w:val="1119"/>
    <w:uiPriority w:val="0"/>
    <w:qFormat/>
    <w:rPr>
      <w:rFonts w:ascii="宋体" w:hAnsi="Courier New" w:eastAsia="宋体" w:cs="Times New Roman"/>
      <w:szCs w:val="21"/>
      <w:lang w:eastAsia="en-US"/>
    </w:rPr>
  </w:style>
  <w:style w:type="paragraph" w:styleId="1121" w:customStyle="1">
    <w:name w:val="目录 811"/>
    <w:basedOn w:val="724"/>
    <w:next w:val="724"/>
    <w:uiPriority w:val="0"/>
    <w:semiHidden/>
    <w:qFormat/>
    <w:pPr>
      <w:ind w:left="1470"/>
      <w:jc w:val="left"/>
    </w:pPr>
    <w:rPr>
      <w:rFonts w:ascii="Times New Roman" w:hAnsi="Times New Roman" w:eastAsia="宋体"/>
      <w:szCs w:val="21"/>
    </w:rPr>
  </w:style>
  <w:style w:type="paragraph" w:styleId="1122" w:customStyle="1">
    <w:name w:val="日期1"/>
    <w:basedOn w:val="724"/>
    <w:next w:val="724"/>
    <w:link w:val="1123"/>
    <w:uiPriority w:val="0"/>
    <w:qFormat/>
    <w:rPr>
      <w:rFonts w:ascii="Times New Roman" w:hAnsi="Times New Roman" w:eastAsia="宋体"/>
      <w:sz w:val="24"/>
      <w:szCs w:val="24"/>
      <w:lang w:eastAsia="en-US"/>
    </w:rPr>
  </w:style>
  <w:style w:type="character" w:styleId="1123" w:customStyle="1">
    <w:name w:val="日期 Char"/>
    <w:link w:val="1122"/>
    <w:uiPriority w:val="0"/>
    <w:qFormat/>
    <w:rPr>
      <w:rFonts w:ascii="Times New Roman" w:hAnsi="Times New Roman" w:eastAsia="宋体" w:cs="Times New Roman"/>
      <w:sz w:val="24"/>
      <w:szCs w:val="24"/>
      <w:lang w:eastAsia="en-US"/>
    </w:rPr>
  </w:style>
  <w:style w:type="paragraph" w:styleId="1124" w:customStyle="1">
    <w:name w:val="正文文本缩进 21"/>
    <w:basedOn w:val="724"/>
    <w:link w:val="1125"/>
    <w:uiPriority w:val="0"/>
    <w:qFormat/>
    <w:pPr>
      <w:ind w:left="630" w:firstLine="645"/>
    </w:pPr>
    <w:rPr>
      <w:rFonts w:ascii="Arial" w:hAnsi="Arial" w:eastAsia="仿宋_GB2312"/>
      <w:sz w:val="32"/>
      <w:szCs w:val="32"/>
      <w:lang w:eastAsia="en-US"/>
    </w:rPr>
  </w:style>
  <w:style w:type="character" w:styleId="1125" w:customStyle="1">
    <w:name w:val="正文文本缩进 2 Char"/>
    <w:link w:val="1124"/>
    <w:uiPriority w:val="0"/>
    <w:qFormat/>
    <w:rPr>
      <w:rFonts w:ascii="Arial" w:hAnsi="Arial" w:eastAsia="仿宋_GB2312" w:cs="Times New Roman"/>
      <w:sz w:val="32"/>
      <w:szCs w:val="32"/>
      <w:lang w:eastAsia="en-US"/>
    </w:rPr>
  </w:style>
  <w:style w:type="paragraph" w:styleId="1126" w:customStyle="1">
    <w:name w:val="批注框文本1"/>
    <w:basedOn w:val="724"/>
    <w:link w:val="1127"/>
    <w:uiPriority w:val="0"/>
    <w:semiHidden/>
    <w:qFormat/>
    <w:rPr>
      <w:rFonts w:ascii="Times New Roman" w:hAnsi="Times New Roman" w:eastAsia="宋体"/>
      <w:sz w:val="18"/>
      <w:szCs w:val="18"/>
      <w:lang w:eastAsia="en-US"/>
    </w:rPr>
  </w:style>
  <w:style w:type="character" w:styleId="1127" w:customStyle="1">
    <w:name w:val="批注框文本 Char"/>
    <w:link w:val="1126"/>
    <w:uiPriority w:val="0"/>
    <w:semiHidden/>
    <w:qFormat/>
    <w:rPr>
      <w:rFonts w:ascii="Times New Roman" w:hAnsi="Times New Roman" w:eastAsia="宋体" w:cs="Times New Roman"/>
      <w:sz w:val="18"/>
      <w:szCs w:val="18"/>
      <w:lang w:eastAsia="en-US"/>
    </w:rPr>
  </w:style>
  <w:style w:type="paragraph" w:styleId="1128" w:customStyle="1">
    <w:name w:val="页脚1"/>
    <w:basedOn w:val="724"/>
    <w:link w:val="1129"/>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29" w:customStyle="1">
    <w:name w:val="页脚 Char"/>
    <w:link w:val="1128"/>
    <w:uiPriority w:val="0"/>
    <w:qFormat/>
    <w:rPr>
      <w:rFonts w:ascii="Times New Roman" w:hAnsi="Times New Roman" w:eastAsia="宋体" w:cs="Times New Roman"/>
      <w:sz w:val="18"/>
      <w:szCs w:val="18"/>
      <w:lang w:eastAsia="en-US"/>
    </w:rPr>
  </w:style>
  <w:style w:type="paragraph" w:styleId="1130" w:customStyle="1">
    <w:name w:val="页眉1"/>
    <w:basedOn w:val="724"/>
    <w:link w:val="113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31" w:customStyle="1">
    <w:name w:val="页眉 Char"/>
    <w:link w:val="1130"/>
    <w:uiPriority w:val="99"/>
    <w:qFormat/>
    <w:rPr>
      <w:rFonts w:ascii="Times New Roman" w:hAnsi="Times New Roman" w:eastAsia="宋体" w:cs="Times New Roman"/>
      <w:sz w:val="18"/>
      <w:szCs w:val="18"/>
      <w:lang w:eastAsia="en-US"/>
    </w:rPr>
  </w:style>
  <w:style w:type="paragraph" w:styleId="1132" w:customStyle="1">
    <w:name w:val="目录 1111"/>
    <w:basedOn w:val="724"/>
    <w:next w:val="724"/>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33" w:customStyle="1">
    <w:name w:val="目录 411"/>
    <w:basedOn w:val="724"/>
    <w:next w:val="724"/>
    <w:uiPriority w:val="0"/>
    <w:semiHidden/>
    <w:qFormat/>
    <w:pPr>
      <w:ind w:left="630"/>
      <w:jc w:val="left"/>
    </w:pPr>
    <w:rPr>
      <w:rFonts w:ascii="Times New Roman" w:hAnsi="Times New Roman" w:eastAsia="宋体"/>
      <w:szCs w:val="21"/>
    </w:rPr>
  </w:style>
  <w:style w:type="paragraph" w:styleId="1134" w:customStyle="1">
    <w:name w:val="列表1"/>
    <w:basedOn w:val="724"/>
    <w:uiPriority w:val="0"/>
    <w:qFormat/>
    <w:pPr>
      <w:ind w:left="200" w:hanging="200"/>
    </w:pPr>
    <w:rPr>
      <w:rFonts w:ascii="Times New Roman" w:hAnsi="Times New Roman" w:eastAsia="宋体"/>
      <w:szCs w:val="21"/>
    </w:rPr>
  </w:style>
  <w:style w:type="paragraph" w:styleId="1135" w:customStyle="1">
    <w:name w:val="目录 611"/>
    <w:basedOn w:val="724"/>
    <w:next w:val="724"/>
    <w:uiPriority w:val="0"/>
    <w:semiHidden/>
    <w:qFormat/>
    <w:pPr>
      <w:ind w:left="1050"/>
      <w:jc w:val="left"/>
    </w:pPr>
    <w:rPr>
      <w:rFonts w:ascii="Times New Roman" w:hAnsi="Times New Roman" w:eastAsia="宋体"/>
      <w:szCs w:val="21"/>
    </w:rPr>
  </w:style>
  <w:style w:type="paragraph" w:styleId="1136" w:customStyle="1">
    <w:name w:val="正文文本缩进 31"/>
    <w:basedOn w:val="724"/>
    <w:link w:val="1137"/>
    <w:uiPriority w:val="0"/>
    <w:qFormat/>
    <w:pPr>
      <w:ind w:left="645" w:firstLine="645"/>
    </w:pPr>
    <w:rPr>
      <w:rFonts w:ascii="Arial" w:hAnsi="Arial" w:eastAsia="仿宋_GB2312"/>
      <w:color w:val="ffff00"/>
      <w:sz w:val="32"/>
      <w:szCs w:val="32"/>
      <w:lang w:eastAsia="en-US"/>
    </w:rPr>
  </w:style>
  <w:style w:type="character" w:styleId="1137" w:customStyle="1">
    <w:name w:val="正文文本缩进 3 Char"/>
    <w:link w:val="1136"/>
    <w:uiPriority w:val="0"/>
    <w:qFormat/>
    <w:rPr>
      <w:rFonts w:ascii="Arial" w:hAnsi="Arial" w:eastAsia="仿宋_GB2312" w:cs="Times New Roman"/>
      <w:color w:val="ffff00"/>
      <w:sz w:val="32"/>
      <w:szCs w:val="32"/>
      <w:lang w:eastAsia="en-US"/>
    </w:rPr>
  </w:style>
  <w:style w:type="paragraph" w:styleId="1138" w:customStyle="1">
    <w:name w:val="图表目录1"/>
    <w:basedOn w:val="724"/>
    <w:next w:val="724"/>
    <w:uiPriority w:val="0"/>
    <w:semiHidden/>
    <w:qFormat/>
    <w:pPr>
      <w:ind w:left="840" w:hanging="420"/>
    </w:pPr>
    <w:rPr>
      <w:rFonts w:ascii="Times New Roman" w:hAnsi="Times New Roman" w:eastAsia="宋体"/>
      <w:szCs w:val="21"/>
    </w:rPr>
  </w:style>
  <w:style w:type="paragraph" w:styleId="1139" w:customStyle="1">
    <w:name w:val="目录 211"/>
    <w:basedOn w:val="724"/>
    <w:next w:val="724"/>
    <w:uiPriority w:val="0"/>
    <w:semiHidden/>
    <w:qFormat/>
    <w:pPr>
      <w:ind w:left="210"/>
      <w:jc w:val="left"/>
    </w:pPr>
    <w:rPr>
      <w:rFonts w:ascii="Times New Roman" w:hAnsi="Times New Roman" w:eastAsia="宋体"/>
      <w:smallCaps/>
      <w:szCs w:val="24"/>
    </w:rPr>
  </w:style>
  <w:style w:type="paragraph" w:styleId="1140" w:customStyle="1">
    <w:name w:val="目录 911"/>
    <w:basedOn w:val="724"/>
    <w:next w:val="724"/>
    <w:uiPriority w:val="0"/>
    <w:semiHidden/>
    <w:qFormat/>
    <w:pPr>
      <w:ind w:left="1680"/>
      <w:jc w:val="left"/>
    </w:pPr>
    <w:rPr>
      <w:rFonts w:ascii="Times New Roman" w:hAnsi="Times New Roman" w:eastAsia="宋体"/>
      <w:szCs w:val="21"/>
    </w:rPr>
  </w:style>
  <w:style w:type="paragraph" w:styleId="1141" w:customStyle="1">
    <w:name w:val="正文文本 21"/>
    <w:basedOn w:val="724"/>
    <w:link w:val="1142"/>
    <w:uiPriority w:val="0"/>
    <w:qFormat/>
    <w:pPr>
      <w:jc w:val="center"/>
      <w:widowControl/>
    </w:pPr>
    <w:rPr>
      <w:rFonts w:ascii="楷体_GB2312" w:hAnsi="Times New Roman" w:eastAsia="楷体_GB2312"/>
      <w:sz w:val="28"/>
      <w:szCs w:val="28"/>
      <w:lang w:eastAsia="en-US"/>
    </w:rPr>
  </w:style>
  <w:style w:type="character" w:styleId="1142" w:customStyle="1">
    <w:name w:val="正文文本 2 Char"/>
    <w:link w:val="1141"/>
    <w:uiPriority w:val="0"/>
    <w:qFormat/>
    <w:rPr>
      <w:rFonts w:ascii="楷体_GB2312" w:hAnsi="Times New Roman" w:eastAsia="楷体_GB2312" w:cs="Times New Roman"/>
      <w:sz w:val="28"/>
      <w:szCs w:val="28"/>
      <w:lang w:eastAsia="en-US"/>
    </w:rPr>
  </w:style>
  <w:style w:type="paragraph" w:styleId="1143" w:customStyle="1">
    <w:name w:val="普通(网站)1"/>
    <w:basedOn w:val="724"/>
    <w:uiPriority w:val="99"/>
    <w:qFormat/>
    <w:pPr>
      <w:jc w:val="left"/>
      <w:spacing w:before="100" w:beforeAutospacing="1" w:after="100" w:afterAutospacing="1"/>
      <w:widowControl/>
    </w:pPr>
    <w:rPr>
      <w:rFonts w:ascii="宋体" w:hAnsi="宋体" w:eastAsia="宋体" w:cs="宋体"/>
      <w:sz w:val="24"/>
      <w:szCs w:val="24"/>
    </w:rPr>
  </w:style>
  <w:style w:type="paragraph" w:styleId="1144" w:customStyle="1">
    <w:name w:val="索引 11"/>
    <w:basedOn w:val="724"/>
    <w:next w:val="724"/>
    <w:uiPriority w:val="0"/>
    <w:semiHidden/>
    <w:qFormat/>
    <w:pPr>
      <w:spacing w:line="240" w:lineRule="atLeast"/>
    </w:pPr>
    <w:rPr>
      <w:rFonts w:ascii="Times New Roman" w:hAnsi="Times New Roman" w:eastAsia="宋体"/>
      <w:b/>
      <w:bCs/>
      <w:szCs w:val="21"/>
    </w:rPr>
  </w:style>
  <w:style w:type="paragraph" w:styleId="1145" w:customStyle="1">
    <w:name w:val="批注主题1"/>
    <w:basedOn w:val="1107"/>
    <w:next w:val="1107"/>
    <w:link w:val="1146"/>
    <w:uiPriority w:val="0"/>
    <w:semiHidden/>
    <w:qFormat/>
    <w:rPr>
      <w:b/>
      <w:bCs/>
    </w:rPr>
  </w:style>
  <w:style w:type="character" w:styleId="1146" w:customStyle="1">
    <w:name w:val="批注主题 Char"/>
    <w:link w:val="1145"/>
    <w:uiPriority w:val="0"/>
    <w:semiHidden/>
    <w:qFormat/>
    <w:rPr>
      <w:rFonts w:ascii="Times New Roman" w:hAnsi="Times New Roman" w:eastAsia="宋体" w:cs="Times New Roman"/>
      <w:b/>
      <w:bCs/>
      <w:szCs w:val="21"/>
      <w:lang w:eastAsia="en-US"/>
    </w:rPr>
  </w:style>
  <w:style w:type="paragraph" w:styleId="1147" w:customStyle="1">
    <w:name w:val="正文首行缩进1"/>
    <w:basedOn w:val="724"/>
    <w:link w:val="1148"/>
    <w:uiPriority w:val="0"/>
    <w:qFormat/>
    <w:pPr>
      <w:ind w:firstLine="200"/>
      <w:spacing w:line="360" w:lineRule="auto"/>
    </w:pPr>
    <w:rPr>
      <w:rFonts w:ascii="仿宋_GB2312" w:hAnsi="Times New Roman" w:eastAsia="仿宋_GB2312"/>
      <w:sz w:val="30"/>
      <w:szCs w:val="30"/>
      <w:lang w:eastAsia="en-US"/>
    </w:rPr>
  </w:style>
  <w:style w:type="character" w:styleId="1148" w:customStyle="1">
    <w:name w:val="正文首行缩进 Char"/>
    <w:link w:val="1147"/>
    <w:uiPriority w:val="0"/>
    <w:qFormat/>
    <w:rPr>
      <w:rFonts w:ascii="仿宋_GB2312" w:hAnsi="Times New Roman" w:eastAsia="仿宋_GB2312" w:cs="Times New Roman"/>
      <w:sz w:val="30"/>
      <w:szCs w:val="30"/>
      <w:lang w:eastAsia="en-US"/>
    </w:rPr>
  </w:style>
  <w:style w:type="paragraph" w:styleId="1149" w:customStyle="1">
    <w:name w:val="正文首行缩进 21"/>
    <w:basedOn w:val="1113"/>
    <w:next w:val="724"/>
    <w:link w:val="1150"/>
    <w:uiPriority w:val="0"/>
    <w:qFormat/>
    <w:pPr>
      <w:ind w:firstLine="420"/>
      <w:spacing w:line="360" w:lineRule="auto"/>
    </w:pPr>
    <w:rPr>
      <w:rFonts w:ascii="宋体" w:hAnsi="宋体" w:eastAsia="宋体"/>
      <w:szCs w:val="20"/>
    </w:rPr>
  </w:style>
  <w:style w:type="character" w:styleId="1150" w:customStyle="1">
    <w:name w:val="正文首行缩进 2 Char"/>
    <w:link w:val="1149"/>
    <w:uiPriority w:val="0"/>
    <w:qFormat/>
    <w:rPr>
      <w:rFonts w:ascii="宋体" w:hAnsi="宋体" w:eastAsia="宋体" w:cs="Times New Roman"/>
      <w:sz w:val="32"/>
      <w:lang w:eastAsia="en-US"/>
    </w:rPr>
  </w:style>
  <w:style w:type="character" w:styleId="1151" w:customStyle="1">
    <w:name w:val="要点1"/>
    <w:uiPriority w:val="0"/>
    <w:qFormat/>
    <w:rPr>
      <w:b/>
      <w:bCs/>
    </w:rPr>
  </w:style>
  <w:style w:type="character" w:styleId="1152" w:customStyle="1">
    <w:name w:val="页码1"/>
    <w:uiPriority w:val="0"/>
    <w:qFormat/>
  </w:style>
  <w:style w:type="character" w:styleId="1153" w:customStyle="1">
    <w:name w:val="已访问的超链接1"/>
    <w:uiPriority w:val="0"/>
    <w:qFormat/>
    <w:rPr>
      <w:color w:val="800080"/>
      <w:u w:val="single"/>
    </w:rPr>
  </w:style>
  <w:style w:type="character" w:styleId="1154" w:customStyle="1">
    <w:name w:val="HTML 打字机1"/>
    <w:uiPriority w:val="99"/>
    <w:qFormat/>
    <w:rPr>
      <w:rFonts w:ascii="宋体" w:hAnsi="宋体" w:eastAsia="宋体" w:cs="宋体"/>
      <w:sz w:val="24"/>
      <w:szCs w:val="24"/>
    </w:rPr>
  </w:style>
  <w:style w:type="character" w:styleId="1155" w:customStyle="1">
    <w:name w:val="超链接1"/>
    <w:uiPriority w:val="0"/>
    <w:qFormat/>
    <w:rPr>
      <w:color w:val="0000ff"/>
      <w:u w:val="single"/>
    </w:rPr>
  </w:style>
  <w:style w:type="character" w:styleId="1156" w:customStyle="1">
    <w:name w:val="二级目录 Char"/>
    <w:link w:val="1157"/>
    <w:uiPriority w:val="0"/>
    <w:qFormat/>
    <w:rPr>
      <w:b/>
      <w:sz w:val="30"/>
      <w:szCs w:val="28"/>
    </w:rPr>
  </w:style>
  <w:style w:type="paragraph" w:styleId="1157" w:customStyle="1">
    <w:name w:val="二级目录"/>
    <w:next w:val="724"/>
    <w:link w:val="1156"/>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paragraph" w:styleId="1158" w:customStyle="1">
    <w:name w:val="Body Text(ch)"/>
    <w:basedOn w:val="724"/>
    <w:next w:val="1111"/>
    <w:uiPriority w:val="0"/>
    <w:qFormat/>
    <w:pPr>
      <w:spacing w:after="120"/>
    </w:pPr>
    <w:rPr>
      <w:rFonts w:ascii="宋体" w:hAnsi="Arial" w:eastAsia="宋体"/>
      <w:bCs/>
      <w:iCs/>
      <w:szCs w:val="24"/>
    </w:rPr>
  </w:style>
  <w:style w:type="paragraph" w:styleId="1159" w:customStyle="1">
    <w:name w:val="Char"/>
    <w:basedOn w:val="724"/>
    <w:uiPriority w:val="0"/>
    <w:qFormat/>
    <w:pPr>
      <w:ind w:firstLine="200"/>
      <w:tabs>
        <w:tab w:val="left" w:pos="360" w:leader="none"/>
      </w:tabs>
    </w:pPr>
    <w:rPr>
      <w:rFonts w:ascii="Times New Roman" w:hAnsi="Times New Roman" w:eastAsia="宋体"/>
      <w:sz w:val="28"/>
      <w:szCs w:val="30"/>
    </w:rPr>
  </w:style>
  <w:style w:type="paragraph" w:styleId="1160" w:customStyle="1">
    <w:name w:val="普通正文"/>
    <w:basedOn w:val="724"/>
    <w:uiPriority w:val="0"/>
    <w:qFormat/>
    <w:pPr>
      <w:ind w:firstLine="480"/>
      <w:jc w:val="left"/>
      <w:spacing w:before="120" w:after="120" w:line="360" w:lineRule="auto"/>
    </w:pPr>
    <w:rPr>
      <w:rFonts w:ascii="Arial" w:hAnsi="Arial" w:eastAsia="宋体"/>
      <w:sz w:val="24"/>
      <w:szCs w:val="24"/>
    </w:rPr>
  </w:style>
  <w:style w:type="paragraph" w:styleId="1161" w:customStyle="1">
    <w:name w:val="table_lines"/>
    <w:basedOn w:val="724"/>
    <w:uiPriority w:val="0"/>
    <w:qFormat/>
    <w:pPr>
      <w:jc w:val="left"/>
      <w:widowControl/>
    </w:pPr>
    <w:rPr>
      <w:rFonts w:ascii="Times New Roman" w:hAnsi="Times New Roman" w:eastAsia="宋体"/>
      <w:sz w:val="20"/>
      <w:szCs w:val="20"/>
      <w:lang w:val="de-DE" w:eastAsia="de-DE"/>
    </w:rPr>
  </w:style>
  <w:style w:type="paragraph" w:styleId="116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63" w:customStyle="1">
    <w:name w:val="列出段落21"/>
    <w:basedOn w:val="724"/>
    <w:uiPriority w:val="99"/>
    <w:qFormat/>
    <w:pPr>
      <w:contextualSpacing/>
      <w:ind w:left="720"/>
      <w:jc w:val="left"/>
      <w:widowControl/>
    </w:pPr>
    <w:rPr>
      <w:rFonts w:eastAsia="宋体"/>
      <w:sz w:val="24"/>
      <w:szCs w:val="24"/>
      <w:lang w:eastAsia="en-US" w:bidi="en-US"/>
    </w:rPr>
  </w:style>
  <w:style w:type="paragraph" w:styleId="1164" w:customStyle="1">
    <w:name w:val="4"/>
    <w:basedOn w:val="724"/>
    <w:next w:val="1136"/>
    <w:uiPriority w:val="0"/>
    <w:qFormat/>
    <w:pPr>
      <w:ind w:firstLine="420"/>
      <w:spacing w:line="360" w:lineRule="auto"/>
    </w:pPr>
    <w:rPr>
      <w:rFonts w:ascii="Times New Roman" w:hAnsi="Times New Roman" w:eastAsia="宋体"/>
      <w:color w:val="ff0000"/>
      <w:sz w:val="24"/>
      <w:szCs w:val="24"/>
    </w:rPr>
  </w:style>
  <w:style w:type="paragraph" w:styleId="1165" w:customStyle="1">
    <w:name w:val="普通 (Web)"/>
    <w:basedOn w:val="724"/>
    <w:uiPriority w:val="0"/>
    <w:qFormat/>
    <w:pPr>
      <w:jc w:val="left"/>
      <w:spacing w:before="100" w:beforeAutospacing="1" w:after="100" w:afterAutospacing="1"/>
      <w:widowControl/>
    </w:pPr>
    <w:rPr>
      <w:rFonts w:ascii="宋体" w:hAnsi="宋体" w:eastAsia="宋体"/>
      <w:sz w:val="24"/>
      <w:szCs w:val="24"/>
    </w:rPr>
  </w:style>
  <w:style w:type="paragraph" w:styleId="1166" w:customStyle="1">
    <w:name w:val="Char Char Char Char Char Char Char Char Char Char"/>
    <w:basedOn w:val="724"/>
    <w:uiPriority w:val="0"/>
    <w:qFormat/>
    <w:pPr>
      <w:spacing w:line="360" w:lineRule="auto"/>
    </w:pPr>
    <w:rPr>
      <w:rFonts w:ascii="Times New Roman" w:hAnsi="Times New Roman" w:eastAsia="宋体"/>
      <w:sz w:val="24"/>
      <w:szCs w:val="20"/>
    </w:rPr>
  </w:style>
  <w:style w:type="paragraph" w:styleId="1167" w:customStyle="1">
    <w:name w:val="样式1"/>
    <w:basedOn w:val="724"/>
    <w:uiPriority w:val="0"/>
    <w:qFormat/>
    <w:pPr>
      <w:numPr>
        <w:ilvl w:val="0"/>
        <w:numId w:val="5"/>
      </w:numPr>
      <w:tabs>
        <w:tab w:val="left" w:pos="709" w:leader="none"/>
      </w:tabs>
    </w:pPr>
    <w:rPr>
      <w:rFonts w:ascii="宋体" w:hAnsi="宋体" w:eastAsia="宋体"/>
      <w:szCs w:val="21"/>
    </w:rPr>
  </w:style>
  <w:style w:type="paragraph" w:styleId="1168"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69" w:customStyle="1">
    <w:name w:val="标题3"/>
    <w:basedOn w:val="724"/>
    <w:next w:val="724"/>
    <w:uiPriority w:val="0"/>
    <w:qFormat/>
    <w:pPr>
      <w:ind w:firstLine="624"/>
      <w:spacing w:line="590" w:lineRule="atLeast"/>
    </w:pPr>
    <w:rPr>
      <w:rFonts w:ascii="方正黑体_GBK" w:hAnsi="Times New Roman" w:eastAsia="方正黑体_GBK"/>
      <w:sz w:val="32"/>
      <w:szCs w:val="32"/>
    </w:rPr>
  </w:style>
  <w:style w:type="paragraph" w:styleId="1170" w:customStyle="1">
    <w:name w:val="Char Char Char Char Char Char Char Char"/>
    <w:basedOn w:val="724"/>
    <w:uiPriority w:val="0"/>
    <w:qFormat/>
    <w:pPr>
      <w:jc w:val="left"/>
      <w:spacing w:after="160" w:line="240" w:lineRule="exact"/>
      <w:widowControl/>
    </w:pPr>
    <w:rPr>
      <w:rFonts w:ascii="Verdana" w:hAnsi="Verdana" w:eastAsia="宋体"/>
      <w:sz w:val="20"/>
      <w:szCs w:val="20"/>
      <w:lang w:eastAsia="en-US"/>
    </w:rPr>
  </w:style>
  <w:style w:type="paragraph" w:styleId="1171" w:customStyle="1">
    <w:name w:val="table_1stline"/>
    <w:basedOn w:val="724"/>
    <w:uiPriority w:val="0"/>
    <w:qFormat/>
    <w:pPr>
      <w:jc w:val="left"/>
      <w:spacing w:before="120"/>
      <w:widowControl/>
    </w:pPr>
    <w:rPr>
      <w:rFonts w:ascii="Times New Roman" w:hAnsi="Times New Roman" w:eastAsia="宋体"/>
      <w:bCs/>
      <w:sz w:val="20"/>
      <w:szCs w:val="20"/>
      <w:lang w:val="de-DE" w:eastAsia="de-DE"/>
    </w:rPr>
  </w:style>
  <w:style w:type="paragraph" w:styleId="1172" w:customStyle="1">
    <w:name w:val="标题1"/>
    <w:basedOn w:val="724"/>
    <w:next w:val="72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73" w:customStyle="1">
    <w:name w:val="修订2"/>
    <w:uiPriority w:val="99"/>
    <w:semiHidden/>
    <w:qFormat/>
    <w:rPr>
      <w:rFonts w:ascii="Times New Roman" w:hAnsi="Times New Roman" w:eastAsia="宋体" w:cs="Times New Roman"/>
      <w:sz w:val="21"/>
      <w:szCs w:val="21"/>
      <w:lang w:val="en-US" w:eastAsia="zh-CN" w:bidi="ar-SA"/>
    </w:rPr>
  </w:style>
  <w:style w:type="paragraph" w:styleId="117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75" w:customStyle="1">
    <w:name w:val="目录 111"/>
    <w:basedOn w:val="724"/>
    <w:next w:val="724"/>
    <w:uiPriority w:val="39"/>
    <w:unhideWhenUsed/>
    <w:qFormat/>
    <w:pPr>
      <w:jc w:val="left"/>
      <w:spacing w:after="100" w:line="259" w:lineRule="auto"/>
      <w:widowControl/>
    </w:pPr>
    <w:rPr>
      <w:rFonts w:eastAsia="宋体"/>
      <w:sz w:val="22"/>
    </w:rPr>
  </w:style>
  <w:style w:type="table" w:styleId="1176" w:customStyle="1">
    <w:name w:val="网格型5"/>
    <w:basedOn w:val="781"/>
    <w:uiPriority w:val="0"/>
    <w:qFormat/>
    <w:pPr>
      <w:jc w:val="both"/>
      <w:widowControl w:val="off"/>
    </w:pPr>
    <w:tblPr>
      <w:tblCellMar>
        <w:left w:w="0" w:type="dxa"/>
        <w:top w:w="0" w:type="dxa"/>
        <w:right w:w="0" w:type="dxa"/>
        <w:bottom w:w="0" w:type="dxa"/>
      </w:tblCellMar>
    </w:tblPr>
  </w:style>
  <w:style w:type="paragraph" w:styleId="1177" w:customStyle="1">
    <w:name w:val="a0"/>
    <w:basedOn w:val="724"/>
    <w:uiPriority w:val="0"/>
    <w:qFormat/>
    <w:pPr>
      <w:jc w:val="left"/>
      <w:spacing w:before="100" w:beforeAutospacing="1" w:after="100" w:afterAutospacing="1"/>
      <w:widowControl/>
    </w:pPr>
    <w:rPr>
      <w:rFonts w:ascii="宋体" w:hAnsi="宋体" w:cs="宋体"/>
    </w:rPr>
  </w:style>
  <w:style w:type="character" w:styleId="1178" w:customStyle="1">
    <w:name w:val="NormalCharacter1"/>
    <w:uiPriority w:val="0"/>
    <w:qFormat/>
  </w:style>
  <w:style w:type="paragraph" w:styleId="1179" w:customStyle="1">
    <w:name w:val="_Style 1"/>
    <w:basedOn w:val="724"/>
    <w:uiPriority w:val="34"/>
    <w:qFormat/>
    <w:pPr>
      <w:ind w:firstLine="420"/>
    </w:pPr>
  </w:style>
  <w:style w:type="paragraph" w:styleId="1180" w:customStyle="1">
    <w:name w:val="UserStyle_0"/>
    <w:basedOn w:val="724"/>
    <w:uiPriority w:val="0"/>
    <w:qFormat/>
    <w:pPr>
      <w:ind w:left="420" w:firstLine="420"/>
      <w:spacing w:after="120"/>
      <w:widowControl/>
    </w:pPr>
    <w:rPr>
      <w:rFonts w:ascii="Times New Roman" w:hAnsi="Times New Roman"/>
      <w:szCs w:val="20"/>
    </w:rPr>
  </w:style>
  <w:style w:type="paragraph" w:styleId="1181" w:customStyle="1">
    <w:name w:val="UserStyle_87"/>
    <w:basedOn w:val="724"/>
    <w:uiPriority w:val="0"/>
    <w:qFormat/>
    <w:pPr>
      <w:ind w:firstLine="420"/>
      <w:widowControl/>
    </w:pPr>
  </w:style>
  <w:style w:type="character" w:styleId="1182" w:customStyle="1">
    <w:name w:val="UserStyle_88"/>
    <w:uiPriority w:val="0"/>
    <w:qFormat/>
  </w:style>
  <w:style w:type="paragraph" w:styleId="1183" w:customStyle="1">
    <w:name w:val="BodyText1I21"/>
    <w:basedOn w:val="724"/>
    <w:uiPriority w:val="0"/>
    <w:qFormat/>
    <w:pPr>
      <w:ind w:left="420" w:firstLine="420"/>
      <w:spacing w:after="120"/>
    </w:pPr>
    <w:rPr>
      <w:rFonts w:ascii="Times New Roman" w:hAnsi="Times New Roman"/>
      <w:szCs w:val="20"/>
    </w:rPr>
  </w:style>
  <w:style w:type="paragraph" w:styleId="1184" w:customStyle="1">
    <w:name w:val="Table Text"/>
    <w:basedOn w:val="724"/>
    <w:uiPriority w:val="0"/>
    <w:semiHidden/>
    <w:qFormat/>
    <w:rPr>
      <w:rFonts w:ascii="宋体" w:hAnsi="宋体" w:eastAsia="宋体" w:cs="宋体"/>
      <w:sz w:val="24"/>
      <w:szCs w:val="24"/>
      <w:lang w:eastAsia="en-US"/>
    </w:rPr>
  </w:style>
  <w:style w:type="character" w:styleId="1185" w:customStyle="1">
    <w:name w:val="font91"/>
    <w:basedOn w:val="734"/>
    <w:uiPriority w:val="0"/>
    <w:qFormat/>
    <w:rPr>
      <w:rFonts w:hint="eastAsia" w:ascii="宋体" w:hAnsi="宋体" w:eastAsia="宋体" w:cs="宋体"/>
      <w:color w:val="000000"/>
      <w:sz w:val="20"/>
      <w:szCs w:val="20"/>
      <w:u w:val="none"/>
    </w:rPr>
  </w:style>
  <w:style w:type="character" w:styleId="1186" w:customStyle="1">
    <w:name w:val="font41"/>
    <w:basedOn w:val="734"/>
    <w:uiPriority w:val="0"/>
    <w:qFormat/>
    <w:rPr>
      <w:rFonts w:hint="eastAsia" w:ascii="宋体" w:hAnsi="宋体" w:eastAsia="宋体" w:cs="宋体"/>
      <w:color w:val="000000"/>
      <w:sz w:val="20"/>
      <w:szCs w:val="20"/>
      <w:u w:val="none"/>
    </w:rPr>
  </w:style>
  <w:style w:type="character" w:styleId="1187" w:customStyle="1">
    <w:name w:val="font51"/>
    <w:basedOn w:val="734"/>
    <w:uiPriority w:val="0"/>
    <w:qFormat/>
    <w:rPr>
      <w:rFonts w:hint="default" w:ascii="仿宋_GB2312" w:eastAsia="仿宋_GB2312" w:cs="仿宋_GB2312"/>
      <w:color w:val="000000"/>
      <w:sz w:val="20"/>
      <w:szCs w:val="20"/>
      <w:u w:val="none"/>
    </w:rPr>
  </w:style>
  <w:style w:type="character" w:styleId="1188" w:customStyle="1">
    <w:name w:val="font141"/>
    <w:basedOn w:val="734"/>
    <w:uiPriority w:val="0"/>
    <w:qFormat/>
    <w:rPr>
      <w:rFonts w:hint="default" w:ascii="仿宋_GB2312" w:eastAsia="仿宋_GB2312" w:cs="仿宋_GB2312"/>
      <w:b/>
      <w:bCs/>
      <w:color w:val="000000"/>
      <w:sz w:val="20"/>
      <w:szCs w:val="20"/>
      <w:u w:val="none"/>
    </w:rPr>
  </w:style>
  <w:style w:type="character" w:styleId="1189" w:customStyle="1">
    <w:name w:val="font01"/>
    <w:basedOn w:val="734"/>
    <w:uiPriority w:val="0"/>
    <w:qFormat/>
    <w:rPr>
      <w:rFonts w:hint="eastAsia" w:ascii="宋体" w:hAnsi="宋体" w:eastAsia="宋体" w:cs="宋体"/>
      <w:color w:val="000000"/>
      <w:sz w:val="22"/>
      <w:szCs w:val="22"/>
      <w:u w:val="none"/>
    </w:rPr>
  </w:style>
  <w:style w:type="character" w:styleId="1190" w:customStyle="1">
    <w:name w:val="font61"/>
    <w:basedOn w:val="734"/>
    <w:uiPriority w:val="0"/>
    <w:qFormat/>
    <w:rPr>
      <w:rFonts w:hint="default" w:ascii="仿宋_GB2312" w:eastAsia="仿宋_GB2312" w:cs="仿宋_GB2312"/>
      <w:color w:val="000000"/>
      <w:sz w:val="20"/>
      <w:szCs w:val="20"/>
      <w:u w:val="none"/>
    </w:rPr>
  </w:style>
  <w:style w:type="character" w:styleId="1191" w:customStyle="1">
    <w:name w:val="font151"/>
    <w:basedOn w:val="734"/>
    <w:uiPriority w:val="0"/>
    <w:qFormat/>
    <w:rPr>
      <w:rFonts w:ascii="Arial" w:hAnsi="Arial" w:cs="Arial"/>
      <w:color w:val="000000"/>
      <w:sz w:val="20"/>
      <w:szCs w:val="20"/>
      <w:u w:val="none"/>
    </w:rPr>
  </w:style>
  <w:style w:type="character" w:styleId="1192" w:customStyle="1">
    <w:name w:val="font31"/>
    <w:basedOn w:val="734"/>
    <w:uiPriority w:val="0"/>
    <w:qFormat/>
    <w:rPr>
      <w:rFonts w:hint="eastAsia" w:ascii="仿宋" w:hAnsi="仿宋" w:eastAsia="仿宋" w:cs="仿宋"/>
      <w:color w:val="000000"/>
      <w:sz w:val="16"/>
      <w:szCs w:val="16"/>
      <w:u w:val="none"/>
    </w:rPr>
  </w:style>
  <w:style w:type="character" w:styleId="1193" w:customStyle="1">
    <w:name w:val="font101"/>
    <w:basedOn w:val="734"/>
    <w:uiPriority w:val="0"/>
    <w:qFormat/>
    <w:rPr>
      <w:rFonts w:hint="eastAsia" w:ascii="宋体" w:hAnsi="宋体" w:eastAsia="宋体" w:cs="宋体"/>
      <w:color w:val="000000"/>
      <w:sz w:val="18"/>
      <w:szCs w:val="18"/>
      <w:u w:val="none"/>
      <w:vertAlign w:val="subscript"/>
    </w:rPr>
  </w:style>
  <w:style w:type="character" w:styleId="1194" w:customStyle="1">
    <w:name w:val="font71"/>
    <w:basedOn w:val="734"/>
    <w:uiPriority w:val="0"/>
    <w:qFormat/>
    <w:rPr>
      <w:rFonts w:hint="eastAsia" w:ascii="宋体" w:hAnsi="宋体" w:eastAsia="宋体" w:cs="宋体"/>
      <w:color w:val="000000"/>
      <w:sz w:val="18"/>
      <w:szCs w:val="18"/>
      <w:u w:val="none"/>
    </w:rPr>
  </w:style>
  <w:style w:type="character" w:styleId="1195" w:customStyle="1">
    <w:name w:val="批注框文本 Char2"/>
    <w:basedOn w:val="734"/>
    <w:link w:val="746"/>
    <w:uiPriority w:val="99"/>
    <w:semiHidden/>
    <w:qFormat/>
    <w:rPr>
      <w:rFonts w:ascii="Calibri" w:hAnsi="Calibri" w:eastAsia="Arial"/>
      <w:sz w:val="18"/>
      <w:szCs w:val="18"/>
    </w:rPr>
  </w:style>
  <w:style w:type="numbering" w:styleId="127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b20e4b6f-96df-48b8-8be8-67810029d606</errorID>
      <errorWord>页</errorWord>
      <group>L1_Word</group>
      <groupName>字词问题</groupName>
      <ability>L2_Typo</ability>
      <abilityName>字词错误</abilityName>
      <candidateList>
        <item>页面</item>
      </candidateList>
      <explain/>
      <paraID> 8375FE6</paraID>
      <start>26</start>
      <end>27</end>
      <status>unmodified</status>
      <modifiedWord/>
      <trackRevisions>false</trackRevisions>
    </reviewItem>
    <reviewItem>
      <errorID>e334de10-b6eb-4919-9823-97e3114e4f8e</errorID>
      <errorWord>做</errorWord>
      <group>L1_Word</group>
      <groupName>字词问题</groupName>
      <ability>L2_Typo</ability>
      <abilityName>字词错误</abilityName>
      <candidateList>
        <item>作</item>
      </candidateList>
      <explain>存在发音相同字词的误用。</explain>
      <paraID>7B2A32C8</paraID>
      <start>70</start>
      <end>71</end>
      <status>unmodified</status>
      <modifiedWord/>
      <trackRevisions>false</trackRevisions>
    </reviewItem>
    <reviewItem>
      <errorID>2a68dfe2-9e95-406a-b483-fa4433d122c4</errorID>
      <errorWord>&lt;</errorWord>
      <group>L1_Format</group>
      <groupName>格式问题</groupName>
      <ability>L2_HalfPunc</ability>
      <abilityName>全半角检查</abilityName>
      <candidateList>
        <item>〈</item>
      </candidateList>
      <explain>文本全半角错误。</explain>
      <paraID>45686202</paraID>
      <start>33</start>
      <end>34</end>
      <status>unmodified</status>
      <modifiedWord/>
      <trackRevisions>false</trackRevisions>
    </reviewItem>
    <reviewItem>
      <errorID>5f98b8f8-df4e-4db5-9bad-824818b006c4</errorID>
      <errorWord>&lt;</errorWord>
      <group>L1_Format</group>
      <groupName>格式问题</groupName>
      <ability>L2_HalfPunc</ability>
      <abilityName>全半角检查</abilityName>
      <candidateList>
        <item>〈</item>
      </candidateList>
      <explain>文本全半角错误。</explain>
      <paraID> 80C6DFF</paraID>
      <start>35</start>
      <end>36</end>
      <status>unmodified</status>
      <modifiedWord/>
      <trackRevisions>false</trackRevisions>
    </reviewItem>
    <reviewItem>
      <errorID>ae6e31b7-c5d8-4bbb-8de7-044485ad008d</errorID>
      <errorWord>，</errorWord>
      <group>L1_Word</group>
      <groupName>字词问题</groupName>
      <ability>L2_Typo</ability>
      <abilityName>字词错误</abilityName>
      <candidateList>
        <item>，并</item>
      </candidateList>
      <explain/>
      <paraID>526AADAC</paraID>
      <start>73</start>
      <end>74</end>
      <status>unmodified</status>
      <modifiedWord/>
      <trackRevisions>false</trackRevisions>
    </reviewItem>
    <reviewItem>
      <errorID>8ee61017-4f66-4966-b8a9-e3befde43121</errorID>
      <errorWord>程</errorWord>
      <group>L1_Word</group>
      <groupName>字词问题</groupName>
      <ability>L2_Typo</ability>
      <abilityName>字词错误</abilityName>
      <candidateList>
        <item>程中</item>
      </candidateList>
      <explain/>
      <paraID>634C7BFB</paraID>
      <start>26</start>
      <end>27</end>
      <status>unmodified</status>
      <modifiedWord/>
      <trackRevisions>false</trackRevisions>
    </reviewItem>
    <reviewItem>
      <errorID>271e874a-524d-40e1-a375-a21718f92cfe</errorID>
      <errorWord>费</errorWord>
      <group>L1_Word</group>
      <groupName>字词问题</groupName>
      <ability>L2_Typo</ability>
      <abilityName>字词错误</abilityName>
      <candidateList>
        <item>费用</item>
      </candidateList>
      <explain/>
      <paraID>634C7BFB</paraID>
      <start>52</start>
      <end>53</end>
      <status>unmodified</status>
      <modifiedWord/>
      <trackRevisions>false</trackRevisions>
    </reviewItem>
    <reviewItem>
      <errorID>2c5493d4-d28c-478d-9947-2b39089eb16e</errorID>
      <errorWord>，</errorWord>
      <group>L1_Word</group>
      <groupName>字词问题</groupName>
      <ability>L2_Typo</ability>
      <abilityName>字词错误</abilityName>
      <candidateList>
        <item>，在</item>
      </candidateList>
      <explain/>
      <paraID>39A493D2</paraID>
      <start>199</start>
      <end>200</end>
      <status>unmodified</status>
      <modifiedWord/>
      <trackRevisions>false</trackRevisions>
    </reviewItem>
    <reviewItem>
      <errorID>addfcc0c-e41b-4400-8c08-db42c67285e2</errorID>
      <errorWord>全</errorWord>
      <group>L1_Word</group>
      <groupName>字词问题</groupName>
      <ability>L2_Typo</ability>
      <abilityName>字词错误</abilityName>
      <candidateList>
        <item>全过</item>
      </candidateList>
      <explain/>
      <paraID>6D2888FB</paraID>
      <start>76</start>
      <end>77</end>
      <status>unmodified</status>
      <modifiedWord/>
      <trackRevisions>false</trackRevisions>
    </reviewItem>
    <reviewItem>
      <errorID>7efb3c35-a0a4-44f4-9019-ce38f70b91c8</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59B7579E</paraID>
      <start>0</start>
      <end>3</end>
      <status>unmodified</status>
      <modifiedWord/>
      <trackRevisions>false</trackRevisions>
    </reviewItem>
    <reviewItem>
      <errorID>d188ca92-f7f0-430d-9320-4ca1545238fc</errorID>
      <errorWord>番白草</errorWord>
      <group>L1_Knowledge</group>
      <groupName>知识性问题</groupName>
      <ability>L2_Term</ability>
      <abilityName>专业术语</abilityName>
      <candidateList>
        <item>翻白草</item>
      </candidateList>
      <explain>医学名词[番白草]为不规范表述或旧称，其规范书面表述为[翻白草]。</explain>
      <paraID>18C5AC41</paraID>
      <start>0</start>
      <end>3</end>
      <status>unmodified</status>
      <modifiedWord/>
      <trackRevisions>false</trackRevisions>
    </reviewItem>
    <reviewItem>
      <errorID>c32e182e-cf59-4de3-b42d-4ee0ccdead01</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6F6DEA0C</paraID>
      <start>0</start>
      <end>2</end>
      <status>unmodified</status>
      <modifiedWord/>
      <trackRevisions>false</trackRevisions>
    </reviewItem>
    <reviewItem>
      <errorID>a9211a87-7793-4549-ad8c-8fa659184530</errorID>
      <errorWord>(</errorWord>
      <group>L1_Format</group>
      <groupName>格式问题</groupName>
      <ability>L2_HalfPunc</ability>
      <abilityName>全半角检查</abilityName>
      <candidateList>
        <item>（</item>
      </candidateList>
      <explain>文本全半角错误。</explain>
      <paraID>6DB59C1D</paraID>
      <start>3</start>
      <end>4</end>
      <status>modified</status>
      <modifiedWord>（</modifiedWord>
      <trackRevisions>false</trackRevisions>
    </reviewItem>
    <reviewItem>
      <errorID>9c0eb517-55e1-4190-8fbb-95f42391a5c9</errorID>
      <errorWord>)</errorWord>
      <group>L1_Format</group>
      <groupName>格式问题</groupName>
      <ability>L2_HalfPunc</ability>
      <abilityName>全半角检查</abilityName>
      <candidateList>
        <item>）</item>
      </candidateList>
      <explain>文本全半角错误。</explain>
      <paraID>6DB59C1D</paraID>
      <start>7</start>
      <end>8</end>
      <status>modified</status>
      <modifiedWord>）</modifiedWord>
      <trackRevisions>false</trackRevisions>
    </reviewItem>
    <reviewItem>
      <errorID>4e43ea71-4498-4906-b7dc-e874e4338f71</errorID>
      <errorWord>，</errorWord>
      <group>L1_Word</group>
      <groupName>字词问题</groupName>
      <ability>L2_Typo</ability>
      <abilityName>字词错误</abilityName>
      <candidateList>
        <item>，以</item>
      </candidateList>
      <explain/>
      <paraID>37FFA175</paraID>
      <start>53</start>
      <end>54</end>
      <status>unmodified</status>
      <modifiedWord/>
      <trackRevisions>false</trackRevisions>
    </reviewItem>
    <reviewItem>
      <errorID>efe2f7e2-d6f1-4a38-a398-d3a0f5e6ede9</errorID>
      <errorWord>全</errorWord>
      <group>L1_Word</group>
      <groupName>字词问题</groupName>
      <ability>L2_Typo</ability>
      <abilityName>字词错误</abilityName>
      <candidateList>
        <item>全过</item>
      </candidateList>
      <explain/>
      <paraID>32BCDCA1</paraID>
      <start>76</start>
      <end>77</end>
      <status>unmodified</status>
      <modifiedWord/>
      <trackRevisions>false</trackRevisions>
    </reviewItem>
    <reviewItem>
      <errorID>5d1e22c9-0c91-4017-84ec-e7a6b297fc72</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433A6EE0</paraID>
      <start>0</start>
      <end>3</end>
      <status>unmodified</status>
      <modifiedWord/>
      <trackRevisions>false</trackRevisions>
    </reviewItem>
    <reviewItem>
      <errorID>908e23e9-ef6a-4f50-89dc-108f35c72346</errorID>
      <errorWord>番白草</errorWord>
      <group>L1_Knowledge</group>
      <groupName>知识性问题</groupName>
      <ability>L2_Term</ability>
      <abilityName>专业术语</abilityName>
      <candidateList>
        <item>翻白草</item>
      </candidateList>
      <explain>医学名词[番白草]为不规范表述或旧称，其规范书面表述为[翻白草]。</explain>
      <paraID>76D4F689</paraID>
      <start>0</start>
      <end>3</end>
      <status>unmodified</status>
      <modifiedWord/>
      <trackRevisions>false</trackRevisions>
    </reviewItem>
    <reviewItem>
      <errorID>f62be6fd-a9da-4625-96a5-e70ba6e1260a</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 69575DD</paraID>
      <start>0</start>
      <end>2</end>
      <status>unmodified</status>
      <modifiedWord/>
      <trackRevisions>false</trackRevisions>
    </reviewItem>
    <reviewItem>
      <errorID>6d2747e0-ccf7-4e1d-aa5c-591c0340f2ac</errorID>
      <errorWord>(</errorWord>
      <group>L1_Format</group>
      <groupName>格式问题</groupName>
      <ability>L2_HalfPunc</ability>
      <abilityName>全半角检查</abilityName>
      <candidateList>
        <item>（</item>
      </candidateList>
      <explain>文本全半角错误。</explain>
      <paraID>33F33BD4</paraID>
      <start>3</start>
      <end>4</end>
      <status>unmodified</status>
      <modifiedWord/>
      <trackRevisions>false</trackRevisions>
    </reviewItem>
    <reviewItem>
      <errorID>7422b5f2-0578-46fb-b4e0-74da2d29c0ad</errorID>
      <errorWord>)</errorWord>
      <group>L1_Format</group>
      <groupName>格式问题</groupName>
      <ability>L2_HalfPunc</ability>
      <abilityName>全半角检查</abilityName>
      <candidateList>
        <item>）</item>
      </candidateList>
      <explain>文本全半角错误。</explain>
      <paraID>33F33BD4</paraID>
      <start>7</start>
      <end>8</end>
      <status>modified</status>
      <modifiedWord>）</modifiedWord>
      <trackRevisions>false</trackRevisions>
    </reviewItem>
    <reviewItem>
      <errorID>4cac290e-c57e-470f-9a83-811e000ffe06</errorID>
      <errorWord>件</errorWord>
      <group>L1_Word</group>
      <groupName>字词问题</groupName>
      <ability>L2_Typo</ability>
      <abilityName>字词错误</abilityName>
      <candidateList>
        <item>件中</item>
      </candidateList>
      <explain/>
      <paraID>65A60433</paraID>
      <start>101</start>
      <end>102</end>
      <status>unmodified</status>
      <modifiedWord/>
      <trackRevisions>false</trackRevisions>
    </reviewItem>
    <reviewItem>
      <errorID>81083794-feee-4a4c-a4b4-17119a1cf672</errorID>
      <errorWord>.</errorWord>
      <group>L1_Format</group>
      <groupName>格式问题</groupName>
      <ability>L2_HalfPunc</ability>
      <abilityName>全半角检查</abilityName>
      <candidateList>
        <item>。</item>
      </candidateList>
      <explain>文本全半角错误。</explain>
      <paraID>6DC23A39</paraID>
      <start>38</start>
      <end>39</end>
      <status>unmodified</status>
      <modifiedWord/>
      <trackRevisions>false</trackRevisions>
    </reviewItem>
    <reviewItem>
      <errorID>c73b4173-056e-47fb-8f64-00a05601a152</errorID>
      <errorWord>投</errorWord>
      <group>L1_Word</group>
      <groupName>字词问题</groupName>
      <ability>L2_Typo</ability>
      <abilityName>字词错误</abilityName>
      <candidateList>
        <item>投资</item>
      </candidateList>
      <explain/>
      <paraID>26821CCA</paraID>
      <start>0</start>
      <end>1</end>
      <status>unmodified</status>
      <modifiedWord/>
      <trackRevisions>false</trackRevisions>
    </reviewItem>
    <reviewItem>
      <errorID>e399c523-720f-49ab-bc16-4ef98f0f5d74</errorID>
      <errorWord>:</errorWord>
      <group>L1_Format</group>
      <groupName>格式问题</groupName>
      <ability>L2_HalfPunc</ability>
      <abilityName>全半角检查</abilityName>
      <candidateList>
        <item>：</item>
      </candidateList>
      <explain>文本全半角错误。</explain>
      <paraID>10B0F553</paraID>
      <start>1</start>
      <end>2</end>
      <status>modified</status>
      <modifiedWord>：</modifiedWord>
      <trackRevisions>false</trackRevisions>
    </reviewItem>
    <reviewItem>
      <errorID>57ad6d75-d8ea-4b5c-8921-1ea3d3e28123</errorID>
      <errorWord>违约性</errorWord>
      <group>L1_Word</group>
      <groupName>字词问题</groupName>
      <ability>L2_Typo</ability>
      <abilityName>字词错误</abilityName>
      <candidateList>
        <item>违约</item>
      </candidateList>
      <explain/>
      <paraID>10B0F553</paraID>
      <start>46</start>
      <end>49</end>
      <status>unmodified</status>
      <modifiedWord/>
      <trackRevisions>false</trackRevisions>
    </reviewItem>
    <reviewItem>
      <errorID>b763d97c-24fe-4272-b81d-d36d402a6696</errorID>
      <errorWord>属</errorWord>
      <group>L1_Word</group>
      <groupName>字词问题</groupName>
      <ability>L2_Typo</ability>
      <abilityName>字词错误</abilityName>
      <candidateList>
        <item>属于</item>
      </candidateList>
      <explain/>
      <paraID> EAD1A8C</paraID>
      <start>93</start>
      <end>94</end>
      <status>unmodified</status>
      <modifiedWord/>
      <trackRevisions>false</trackRevisions>
    </reviewItem>
    <reviewItem>
      <errorID>8af0575e-342f-4464-a9c8-015c1baef5b7</errorID>
      <errorWord>审</errorWord>
      <group>L1_Word</group>
      <groupName>字词问题</groupName>
      <ability>L2_Typo</ability>
      <abilityName>字词错误</abilityName>
      <candidateList>
        <item>审计</item>
      </candidateList>
      <explain/>
      <paraID>4224D3D7</paraID>
      <start>65</start>
      <end>66</end>
      <status>unmodified</status>
      <modifiedWord/>
      <trackRevisions>false</trackRevisions>
    </reviewItem>
    <reviewItem>
      <errorID>8e75198e-9dd0-44d6-935a-df2a2b76b279</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5FBE7B32</paraID>
      <start>0</start>
      <end>3</end>
      <status>unmodified</status>
      <modifiedWord/>
      <trackRevisions>false</trackRevisions>
    </reviewItem>
    <reviewItem>
      <errorID>61788bf7-a829-45a1-803b-604f0881255c</errorID>
      <errorWord>番白草</errorWord>
      <group>L1_Knowledge</group>
      <groupName>知识性问题</groupName>
      <ability>L2_Term</ability>
      <abilityName>专业术语</abilityName>
      <candidateList>
        <item>翻白草</item>
      </candidateList>
      <explain>医学名词[番白草]为不规范表述或旧称，其规范书面表述为[翻白草]。</explain>
      <paraID>3E620BBC</paraID>
      <start>0</start>
      <end>3</end>
      <status>unmodified</status>
      <modifiedWord/>
      <trackRevisions>false</trackRevisions>
    </reviewItem>
    <reviewItem>
      <errorID>37c9b835-8361-40fe-a20c-2d45d5d2e3ec</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12ACC68C</paraID>
      <start>0</start>
      <end>2</end>
      <status>unmodified</status>
      <modifiedWord/>
      <trackRevisions>false</trackRevisions>
    </reviewItem>
    <reviewItem>
      <errorID>3430024f-f62d-44dd-a52d-6b8e1652495f</errorID>
      <errorWord>(</errorWord>
      <group>L1_Format</group>
      <groupName>格式问题</groupName>
      <ability>L2_HalfPunc</ability>
      <abilityName>全半角检查</abilityName>
      <candidateList>
        <item>（</item>
      </candidateList>
      <explain>文本全半角错误。</explain>
      <paraID>57FB7056</paraID>
      <start>3</start>
      <end>4</end>
      <status>modified</status>
      <modifiedWord>（</modifiedWord>
      <trackRevisions>false</trackRevisions>
    </reviewItem>
    <reviewItem>
      <errorID>de4b5d1e-f25e-411b-bc80-5d0e8824f1dc</errorID>
      <errorWord>)</errorWord>
      <group>L1_Format</group>
      <groupName>格式问题</groupName>
      <ability>L2_HalfPunc</ability>
      <abilityName>全半角检查</abilityName>
      <candidateList>
        <item>）</item>
      </candidateList>
      <explain>文本全半角错误。</explain>
      <paraID>57FB7056</paraID>
      <start>7</start>
      <end>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9ECFD1B-797F-4644-9691-E8EB09016D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19</cp:revision>
  <dcterms:created xsi:type="dcterms:W3CDTF">2024-04-28T03:01:00Z</dcterms:created>
  <dcterms:modified xsi:type="dcterms:W3CDTF">2026-01-22T09:10:11Z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2052-12.1.0.24657</vt:lpwstr>
  </property>
  <property fmtid="{D5CDD505-2E9C-101B-9397-08002B2CF9AE}" pid="4" name="ICV">
    <vt:lpwstr>161A4807F1694C8898B64C7B3337BE02_13</vt:lpwstr>
  </property>
</Properties>
</file>